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70.0" w:type="dxa"/>
        <w:jc w:val="left"/>
        <w:tblInd w:w="-2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110"/>
        <w:tblGridChange w:id="0">
          <w:tblGrid>
            <w:gridCol w:w="3060"/>
            <w:gridCol w:w="71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907-746-5978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907--355-3750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contextualSpacing w:val="0"/>
              <w:jc w:val="right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sue@sue-a-darby.com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contextualSpacing w:val="0"/>
              <w:jc w:val="right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www.sue-a-darby.com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Application tracking system &amp; CPR Waiver Tracking system as SharePoint Administrator – design, develop and provide solutions to track information the main database is not programmed to track as business needs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Database modification project plan for Habilitation Homes provider management – provides options to view the connections between parent and child records that was not originally part of the system. Analysis of needs and options for solutions developed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Policy and procedure development and maintenance – consistent development of illustrated procedures for common office activities such as data entry and higher level functions such as application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Website design, content development and social media marketing for 9 sites over a period of 20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writing for Pattern Drafting books, 100 published patterns and numerous tutorials – published in the Library of Congress, 4 magazines as well as on business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Electronic document management – develop folder system, train colleagues and maintain system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 management and database cleanup – regularly review reports and correct data in main database in preparation for data conversion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Wikipedia author (Mark Bolzern) – write and develop Wikipedia page for iA3 founder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Process diagramming based on descriptions provided by SME or as directed by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188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18"/>
        <w:gridCol w:w="2250"/>
        <w:gridCol w:w="2520"/>
        <w:gridCol w:w="2700"/>
        <w:tblGridChange w:id="0">
          <w:tblGrid>
            <w:gridCol w:w="2718"/>
            <w:gridCol w:w="2250"/>
            <w:gridCol w:w="2520"/>
            <w:gridCol w:w="27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Process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Software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Process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Strategic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Content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Social Media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Star UML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Master Level MS Office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iA3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Writer &amp; Webmaster - 10/2015-Present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State of Alaska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Senior Services Technician - 2/2014-Present and Office Assistant I &amp; II 5/2008-2/2014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Nine Star Education &amp; Employment Services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Career Development Mentor &amp; Computer Instructor - 4/2006-4/2008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Sue’s Tiny Costumes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Owner, Author, Webmaster -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9/1996-Present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Alaska Office Specialists, Books, Music &amp; More, Coffee Institute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- 2008-Present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Craft Pattern Emporium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Charter College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Dean’s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List,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Business Management Practice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SimSu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http://www.sue-a-darby.com" TargetMode="External"/></Relationships>
</file>