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0.0" w:type="dxa"/>
        <w:jc w:val="left"/>
        <w:tblInd w:w="-460.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395"/>
        <w:gridCol w:w="3615"/>
        <w:tblGridChange w:id="0">
          <w:tblGrid>
            <w:gridCol w:w="7395"/>
            <w:gridCol w:w="3615"/>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keepNext w:val="0"/>
              <w:keepLines w:val="0"/>
              <w:widowControl w:val="1"/>
              <w:spacing w:after="20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5">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bookmarkStart w:colFirst="0" w:colLast="0" w:name="_gjdgxs" w:id="0"/>
            <w:bookmarkEnd w:id="0"/>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hyperlink r:id="rId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 Business Applications</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Corel Draw Suite</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220" w:hRule="atLeast"/>
        </w:trPr>
        <w:tc>
          <w:tcPr/>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120" w:before="120" w:line="240" w:lineRule="auto"/>
              <w:ind w:left="90" w:right="0" w:firstLine="0"/>
              <w:contextualSpacing w:val="0"/>
              <w:jc w:val="left"/>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1">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12">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hyperlink r:id="rId14">
              <w:r w:rsidDel="00000000" w:rsidR="00000000" w:rsidRPr="00000000">
                <w:rPr>
                  <w:rtl w:val="0"/>
                </w:rPr>
              </w:r>
            </w:hyperlink>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 –Online Marketing 2003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15"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Webmaster &amp; Technical Writer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