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w:t>
      </w:r>
      <w:r w:rsidDel="00000000" w:rsidR="00000000" w:rsidRPr="00000000">
        <w:rPr>
          <w:rtl w:val="0"/>
        </w:rPr>
      </w:r>
    </w:p>
    <w:p w:rsidR="00000000" w:rsidDel="00000000" w:rsidP="00000000" w:rsidRDefault="00000000" w:rsidRPr="00000000">
      <w:pPr>
        <w:spacing w:after="100" w:before="280" w:line="276" w:lineRule="auto"/>
        <w:contextualSpacing w:val="0"/>
      </w:pPr>
      <w:r w:rsidDel="00000000" w:rsidR="00000000" w:rsidRPr="00000000">
        <w:rPr>
          <w:rFonts w:ascii="Times New Roman" w:cs="Times New Roman" w:eastAsia="Times New Roman" w:hAnsi="Times New Roman"/>
          <w:b w:val="0"/>
          <w:sz w:val="24"/>
          <w:szCs w:val="24"/>
          <w:rtl w:val="0"/>
        </w:rPr>
        <w:t xml:space="preserve">I am passionate about helping people do tasks more efficiently and am always looking for a better way to solve problems. My experience as a Senior Services Technician combined with my double B.S. Degree in Business Management &amp; Technology: Concentration in Business Applications and B.S. Degree in Business Management &amp; Technology (with Honors) has given me the foundation necessary for success as a Research Analyst I/II.</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