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4"/>
          <w:szCs w:val="24"/>
          <w:u w:val="none"/>
          <w:vertAlign w:val="baseline"/>
          <w:rtl w:val="0"/>
        </w:rPr>
        <w:t xml:space="preserve">ESSENTIAL FUNCTIONS OF THE POSITION </w:t>
      </w:r>
      <w:r w:rsidDel="00000000" w:rsidR="00000000" w:rsidRPr="00000000">
        <w:rPr>
          <w:rFonts w:ascii="Arial" w:cs="Arial" w:eastAsia="Arial" w:hAnsi="Arial"/>
          <w:b w:val="0"/>
          <w:i w:val="0"/>
          <w:smallCaps w:val="0"/>
          <w:strike w:val="0"/>
          <w:color w:val="000000"/>
          <w:sz w:val="24"/>
          <w:szCs w:val="24"/>
          <w:u w:val="none"/>
          <w:vertAlign w:val="baseline"/>
          <w:rtl w:val="0"/>
        </w:rPr>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 Establish MEA’s digital document and records management system for Association-wide document retention.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 Works collaboratively to gain stakeholder buy-in and assistance in meeting project goals and timelines.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3. Works with document owners and users to identify and classify existing and anticipated documents.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 Collaboratively establishes Association-wide metadata templates to facilitate consistent and efficient search and retrieval of digital documents.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5. Provide recommendations, training and guidance to Divisions in establishing and maintaining a logical format for storage, search queries, and retrieval of information.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6. Scan documents into digital document management system. Assure documents are filed as directed by the Divisions.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7. Provide oversight of digital document archival, categorization, and tagging, to ensure consistency and completeness of metadata, quality of document scans, and efficient searching and retrieval of archived documents.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8. Assist In-House Counsel in updating MEA’s document retention and archival procedures.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9. Identify and retrieve research materials and photocopy documents.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 Answer online and e-mail requests for materials by performing electronic searches or assisting users with queries. May produce reproductions when requested.</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11. Collaborate with Senior Management in setting policy determining preservation practices and reproduction and usage fees for members and the public. May assist with copyright issues involved in digitization.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12. Work with the Communications Manager in establishing and maintaining an intranet library website and other digitization projects as requested.</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13. Catalog books and other reference materials routed to the library. Digitize documents as appropriate.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14. May direct interns in assisting with various library and archival tasks.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15. Handle daily library duties related to the Laserfiche online retrieval system, and order archival supplies.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16. Provide collaborative support to the Divisions in research and preparation as requested.</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17. Assist in monitoring budgets and expenditures.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18. Responsible for maintaining relationships with all vendors associated with the digital library.</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19. Perform the essential functions of the position in a safe and efficient manner in accordance with the Association’s work rules and safety policy.</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above items are not intended to be all inclusive of the essential functions or requirements of this type of work as they are subject to change based on operating necessity. The employee will also perform other related business duties as assigned by the immediate supervisor and other management personnel.</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1"/>
          <w:i w:val="1"/>
          <w:smallCaps w:val="0"/>
          <w:strike w:val="0"/>
          <w:color w:val="000000"/>
          <w:sz w:val="24"/>
          <w:szCs w:val="24"/>
          <w:u w:val="none"/>
          <w:vertAlign w:val="baseline"/>
          <w:rtl w:val="0"/>
        </w:rPr>
        <w:t xml:space="preserve">ESSENTIAL POSITION REQUIREMENTS </w:t>
      </w:r>
      <w:r w:rsidDel="00000000" w:rsidR="00000000" w:rsidRPr="00000000">
        <w:rPr>
          <w:rFonts w:ascii="Arial" w:cs="Arial" w:eastAsia="Arial" w:hAnsi="Arial"/>
          <w:b w:val="0"/>
          <w:i w:val="0"/>
          <w:smallCaps w:val="0"/>
          <w:strike w:val="0"/>
          <w:color w:val="000000"/>
          <w:sz w:val="24"/>
          <w:szCs w:val="24"/>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91"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Qualified candidates are required to have a four-year degree or equivalent applicable experience in information technology, library science, or a related field.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91"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At least two years’ experience performing business needs analysis, automating workflows, and/or supporting digital library and archives operations (including collection preservation, online migration, maintenance and digitization of collections) is preferred.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91"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Recent experience with Laserfiche or similar digital document/records management software is preferred.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91"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 ideal candidate must have a proven track record of coordinating and completing projects with limited resources and working in a collaborative culture to successfully meet established goals and deadlines.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91"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Strong organizational skills are required.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91"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Candidates must have a valid Alaska driver’s license and a driving record, which is acceptable and insurable by MEA’s insurance carrier at standard group rates. </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276" w:lineRule="auto"/>
      <w:ind w:left="0" w:right="0" w:firstLine="0"/>
      <w:jc w:val="left"/>
    </w:pPr>
    <w:rPr>
      <w:rFonts w:ascii="Arial" w:cs="Arial" w:eastAsia="Arial" w:hAnsi="Arial"/>
      <w:b w:val="1"/>
      <w:i w:val="0"/>
      <w:smallCaps w:val="0"/>
      <w:strike w:val="0"/>
      <w:color w:val="365f91"/>
      <w:sz w:val="28"/>
      <w:szCs w:val="28"/>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Arial" w:cs="Arial" w:eastAsia="Arial" w:hAnsi="Arial"/>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