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and 1:1 propensity-score matching to a final n = 4,102 (2,051 vaccinated / 2,051 unvaccinated); and Cohort B (post-surgical efficacy analysis) through the cervical-surgery filter (n = 6,890), 1:up-to-5 initial matching (411 / 1,815), index-date eligibility, 1:up-to-4 fine matching to 1,108 (241 / 867; legacy intermediate), and finally the ≥2-dose + 3-month landmark filter with matched-set integrity yielding the v3 primary cohort n = 934 (204 vaccinated / 730 unvaccinated).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26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under the v3 primary (≥2-dose + 3-month landmark) — cumulative incidence curves with number-at-risk tables. (a) lesion recurrence (≥CIN2) in the v3 Cohort B (n = 934; 204 vaccinated / 730 controls); (b) cumulative clearance of pre-vaccine hr-HPV (two-consecutive-negative event) in the v3 pre-vaccine HPV+ subset (n = 235; 92 / 143). X-axis is years from landmark (index + 90 days). For clearance, HR &gt; 1 favours vaccinated.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407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0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after 1:1 propensity-score matching — Cohort A (long-term safety analysis). N = 4,102 (2,051 vaccinated / 2,051 unvaccinated).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33.73 ± 9.14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33.55 ± 11.46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1982.04 ± 10.06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1981.29 ± 11.21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2015.73 ± 4.12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2014.79 ± 3.81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714 (34.8%)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708 (34.5%)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0.870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161.36 ± 5.33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160.63 ± 5.34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57.58 ± 9.81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56.87 ± 10.12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22.15 ± 3.56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22.06 ± 3.69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113.36 ± 13.26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112.64 ± 15.01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70.86 ± 10.70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70.44 ± 11.03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629 (30.6%)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624 (30.4%)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1384 (67.4%)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1387 (67.6%)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0.947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2195.52 ± 1721.94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2725.86 ± 1581.00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 (1.1%)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after 1:up-to-4 fine matching — Cohort B (post-surgical efficacy analysis; ≥1-dose, no-landmark legacy exposure definition retained for reference). N = 1,108 (241 vaccinated / 867 unvaccinated; mean realised ratio 3.60). Absolute standardised mean differences (|SMD|) &lt; 0.10 indicate adequate balance. The final row (Pre-vaccine hr-HPV+) defines the clearance co-primary analytic subset (n = 292: 110 vaccinated / 182 unvaccinated); the large |SMD| on this row reflects differential pre-vaccine molecular-pathology test frequency rather than a balance failure of the fine matching on the other covariates.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37.26 ± 9.45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37.17 ± 8.53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1979.56 ± 10.22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1979.57 ± 9.43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2016.76 ± 3.82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2016.69 ± 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66 (27.4%)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257 (29.6%)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160.38 ± 4.95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160.97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57.14 ± 9.11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57.14 ± 9.39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22.19 ± 3.52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22.15 ± 3.44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113.43 ± 13.03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112.72 ± 13.74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72.06 ± 10.53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71.31 ± 11.83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29 (3.3%)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121 (50.2%)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453 (52.2%)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 (1.7%)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240 (99.6%)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861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36.68 ± 9.27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36.75 ± 8.51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2016.18 ± 3.79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2016.27 ± 3.72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213.25 ± 380.70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153.59 ± 209.66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2233.95 ± 1404.53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2236.13 ± 1351.73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HPV history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analytic subset)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110 (45.6%)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182 (21.0%)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under the ≥2-dose + 3-month landmark PRIMARY exposure definition — Cohort B (post-surgical efficacy analysis). N = 934 (204 vaccinated / 730 fine-matched controls). Matched-set integrity preserved: vaccinated cases failing the ≥2-dose or landmark filter had their full fine-matched set removed. Additional variables — pre-surgery / post-surgery HPV test status (any-time and pre-vaccine windowed) and surgical-pathology severity (HSIL/CIN3 vs invasive cancer vs lower-grade) — are added to support cohort characterisation requested at revision.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(n=934: 204 vac / 730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36.96 ± 9.41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36.92 ± 8.37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0.959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22.49 ± 3.64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113.50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112.90 ± 13.73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72.15 ± 10.46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71.58 ± 11.96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76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163 (79.9%)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645 (88.4%)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209 (28.6%)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6.10 ± 3.84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5.98 ± 3.57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2016.37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2016.50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0.652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203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725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 (1.4%)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277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131 (17.9%)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0.683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255 (34.9%)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319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360 (49.3%)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87 (11.9%)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0.717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(2.9%)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(1.9%)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145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484 (66.3%)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79 (10.8%)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317 (43.4%)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83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(28.2%)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323 (44.2%)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0.047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(0.76–2.12)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0.357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1.95 (0.33–11.71)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0.464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8 / 2044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7 / 2048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1.50 (0.54–4.14)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2039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22 / 2043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1.25 (0.69–2.28)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2053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2053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 (analytic; v3 cohort 204)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 (analytic; v3 cohort 730)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617 (45.4)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1.85 (1.09–3.17)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clearance, 13 reversion,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10.79 (Q25 2.31; Q75 NR); 5-yr S = 0.569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clearance, 13 reversion, 15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KM median 5.67 (Q25 1.91; Q75 NR); 5-yr S = 0.533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non-vac, reversion-free)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χ² = 1.00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0.317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dose, no landmark — lesion recurrence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 / 167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935 (7.5)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601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3206 (12.5)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0.58 (0.27–1.26)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0.168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dose, no landmark — hr-HPV clearance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