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Table 3. Cohort B — Co-primary outcomes and key sensitivity analyses</w:t>
      </w:r>
    </w:p>
    <w:p>
      <w:r>
        <w:rPr>
          <w:i/>
          <w:sz w:val="18"/>
        </w:rPr>
        <w:t>Age-adjusted Cox proportional-hazards models with cluster-robust standard errors using the fine-matching identifier. PY = person-years; rate is per 1,000 person-years.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1892"/>
          </w:tcPr>
          <w:p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892"/>
          </w:tcPr>
          <w:p>
            <w:r>
              <w:rPr>
                <w:b/>
                <w:sz w:val="18"/>
              </w:rPr>
              <w:t>Vaccinated events / N</w:t>
            </w:r>
          </w:p>
        </w:tc>
        <w:tc>
          <w:tcPr>
            <w:tcW w:type="dxa" w:w="1892"/>
          </w:tcPr>
          <w:p>
            <w:r>
              <w:rPr>
                <w:b/>
                <w:sz w:val="18"/>
              </w:rPr>
              <w:t>Vaccinated PY (rate)</w:t>
            </w:r>
          </w:p>
        </w:tc>
        <w:tc>
          <w:tcPr>
            <w:tcW w:type="dxa" w:w="1892"/>
          </w:tcPr>
          <w:p>
            <w:r>
              <w:rPr>
                <w:b/>
                <w:sz w:val="18"/>
              </w:rPr>
              <w:t>Non-vaccinated events / N</w:t>
            </w:r>
          </w:p>
        </w:tc>
        <w:tc>
          <w:tcPr>
            <w:tcW w:type="dxa" w:w="1892"/>
          </w:tcPr>
          <w:p>
            <w:r>
              <w:rPr>
                <w:b/>
                <w:sz w:val="18"/>
              </w:rPr>
              <w:t>Non-vaccinated PY (rate)</w:t>
            </w:r>
          </w:p>
        </w:tc>
        <w:tc>
          <w:tcPr>
            <w:tcW w:type="dxa" w:w="1892"/>
          </w:tcPr>
          <w:p>
            <w:r>
              <w:rPr>
                <w:b/>
                <w:sz w:val="18"/>
              </w:rPr>
              <w:t>HR (95% CI)</w:t>
            </w:r>
          </w:p>
        </w:tc>
        <w:tc>
          <w:tcPr>
            <w:tcW w:type="dxa" w:w="1892"/>
          </w:tcPr>
          <w:p>
            <w:r>
              <w:rPr>
                <w:b/>
                <w:sz w:val="18"/>
              </w:rPr>
              <w:t>Favourable</w:t>
            </w:r>
          </w:p>
        </w:tc>
        <w:tc>
          <w:tcPr>
            <w:tcW w:type="dxa" w:w="1892"/>
          </w:tcPr>
          <w:p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1892"/>
          </w:tcPr>
          <w:p>
            <w:r>
              <w:rPr>
                <w:b/>
                <w:sz w:val="18"/>
              </w:rPr>
              <w:t>[Co-primary] Lesion recurrence (≥CIN2 / HSIL+ or invasive carcinoma)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13 / 241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1405 (9.2)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57 / 867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5052 (11.3)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0.80 (0.44–1.43)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HR&lt;1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0.445</w:t>
            </w:r>
          </w:p>
        </w:tc>
      </w:tr>
      <w:tr>
        <w:tc>
          <w:tcPr>
            <w:tcW w:type="dxa" w:w="1892"/>
          </w:tcPr>
          <w:p>
            <w:r>
              <w:rPr>
                <w:b/>
                <w:sz w:val="18"/>
              </w:rPr>
              <w:t>[Co-primary] hr-HPV clearance / regression (pre-vaccine HPV+ baseline)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55 / 110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326 (168.9)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74 / 182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628 (117.8)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1.23 (0.89–1.72)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HR&gt;1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0.214</w:t>
            </w:r>
          </w:p>
        </w:tc>
      </w:tr>
      <w:tr>
        <w:tc>
          <w:tcPr>
            <w:tcW w:type="dxa" w:w="1892"/>
          </w:tcPr>
          <w:p>
            <w:r>
              <w:rPr>
                <w:sz w:val="18"/>
              </w:rPr>
              <w:t>[Sensitivity] Post-index hr-HPV detection (sensitivity, full cohort)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149 / 241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816 (182.7)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546 / 867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2693 (202.8)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0.91 (0.76–1.08)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HR&lt;1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0.272</w:t>
            </w:r>
          </w:p>
        </w:tc>
      </w:tr>
      <w:tr>
        <w:tc>
          <w:tcPr>
            <w:tcW w:type="dxa" w:w="1892"/>
          </w:tcPr>
          <w:p>
            <w:r>
              <w:rPr>
                <w:sz w:val="18"/>
              </w:rPr>
              <w:t>[Sensitivity] Novel-type acquisition (post-index type not in pre-vaccine baseline)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46 / 206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969 (47.5)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107 / 583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2721 (39.3)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1.21 (0.87–1.69)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HR&lt;1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0.248</w:t>
            </w:r>
          </w:p>
        </w:tc>
      </w:tr>
      <w:tr>
        <w:tc>
          <w:tcPr>
            <w:tcW w:type="dxa" w:w="1892"/>
          </w:tcPr>
          <w:p>
            <w:r>
              <w:rPr>
                <w:sz w:val="18"/>
              </w:rPr>
              <w:t>[Sensitivity] HPV-16 clearance (pre-vaccine 16+ baseline)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47 / 64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113 (414.6)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54 / 80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183 (295.0)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1.07 (0.76–1.51)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HR&gt;1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0.678</w:t>
            </w:r>
          </w:p>
        </w:tc>
      </w:tr>
      <w:tr>
        <w:tc>
          <w:tcPr>
            <w:tcW w:type="dxa" w:w="1892"/>
          </w:tcPr>
          <w:p>
            <w:r>
              <w:rPr>
                <w:sz w:val="18"/>
              </w:rPr>
              <w:t>[Sensitivity] HPV-18 clearance (pre-vaccine 18+ baseline)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28 / 45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94 (296.7)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36 / 57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125 (289.1)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0.90 (0.61–1.32)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HR&gt;1</w:t>
            </w:r>
          </w:p>
        </w:tc>
        <w:tc>
          <w:tcPr>
            <w:tcW w:type="dxa" w:w="1892"/>
          </w:tcPr>
          <w:p>
            <w:r>
              <w:rPr>
                <w:sz w:val="18"/>
              </w:rPr>
              <w:t>0.585</w:t>
            </w:r>
          </w:p>
        </w:tc>
      </w:tr>
    </w:tbl>
    <w:p>
      <w:r>
        <w:rPr>
          <w:i/>
          <w:sz w:val="16"/>
        </w:rPr>
        <w:t>Notes: Co-primary outcomes are reported first; sensitivity analyses follow. For lesion recurrence and post-index detection / novel-type acquisition, a hazard ratio less than 1 is the favourable direction (vaccine reduces event rate); for clearance / regression outcomes, a hazard ratio greater than 1 is favourable (vaccine accelerates clearance). The clearance and type-specific clearance subsets are restricted to women with documented pre-vaccine high-risk HPV positivity (or, for type-specific variants, pre-vaccine type-specific positivity); for these analyses, matched-set integrity was preserved by also dropping non-vaccinated controls whose matched vaccinated case lacked the qualifying pre-vaccine status. The lesion recurrence outcome includes any post-index biopsy diagnosis of CIN2, CIN3, HSIL, carcinoma in situ, or invasive cervical cancer (i.e. CIN2 or worse / high-grade squamous intraepithelial lesion under the 2014 LAST nomenclature).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