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HPV 백신의 자궁경부 병변 재발 예방 효과 연구</w:t>
      </w:r>
    </w:p>
    <w:p/>
    <w:p>
      <w:pPr>
        <w:pStyle w:val="Heading1"/>
      </w:pPr>
      <w:r>
        <w:t>1. 연구 방법</w:t>
      </w:r>
    </w:p>
    <w:p>
      <w:pPr>
        <w:pStyle w:val="Heading2"/>
      </w:pPr>
      <w:r>
        <w:t>1.1 연구 설계</w:t>
      </w:r>
    </w:p>
    <w:p>
      <w:r>
        <w:t>본 연구는 자궁경부 수술 후 HPV 백신 접종의 병변 재발 및 HPV 재감염 예방 효과를 평가하기 위한 후향적 매칭 코호트 연구이다.</w:t>
      </w:r>
    </w:p>
    <w:p>
      <w:pPr>
        <w:pStyle w:val="Heading2"/>
      </w:pPr>
      <w:r>
        <w:t>1.2 연구 대상</w:t>
      </w:r>
    </w:p>
    <w:p>
      <w:r>
        <w:rPr>
          <w:b/>
        </w:rPr>
        <w:t xml:space="preserve">선정 기준: </w:t>
      </w:r>
      <w:r>
        <w:t>한국 HPV 코호트에 등록된 자궁경부 수술 환자 중 Index date ≤ 2023년 12월 31일이고 추적 관찰 2회 이상인 환자.</w:t>
      </w:r>
    </w:p>
    <w:p>
      <w:r>
        <w:rPr>
          <w:b/>
        </w:rPr>
        <w:t xml:space="preserve">제외 기준: </w:t>
      </w:r>
      <w:r>
        <w:t>수술 종류 "제외" 분류, 생년월일 정보 없음, 매칭 실패, 추적 관찰 2회 미만.</w:t>
      </w:r>
    </w:p>
    <w:p>
      <w:pPr>
        <w:pStyle w:val="Heading2"/>
      </w:pPr>
      <w:r>
        <w:t>1.3 코호트 선정 흐름도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접종군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비접종군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전체 수술 환자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6,890명</w:t>
            </w:r>
          </w:p>
        </w:tc>
      </w:tr>
      <w:tr>
        <w:tc>
          <w:tcPr>
            <w:tcW w:type="dxa" w:w="2160"/>
          </w:tcPr>
          <w:p>
            <w:r>
              <w:t>1차 매칭 (1:5)</w:t>
            </w:r>
          </w:p>
        </w:tc>
        <w:tc>
          <w:tcPr>
            <w:tcW w:type="dxa" w:w="2160"/>
          </w:tcPr>
          <w:p>
            <w:r>
              <w:t>411명</w:t>
            </w:r>
          </w:p>
        </w:tc>
        <w:tc>
          <w:tcPr>
            <w:tcW w:type="dxa" w:w="2160"/>
          </w:tcPr>
          <w:p>
            <w:r>
              <w:t>1,815명</w:t>
            </w:r>
          </w:p>
        </w:tc>
        <w:tc>
          <w:tcPr>
            <w:tcW w:type="dxa" w:w="2160"/>
          </w:tcPr>
          <w:p>
            <w:r>
              <w:t>수술시점, 나이, 수술방법</w:t>
            </w:r>
          </w:p>
        </w:tc>
      </w:tr>
      <w:tr>
        <w:tc>
          <w:tcPr>
            <w:tcW w:type="dxa" w:w="2160"/>
          </w:tcPr>
          <w:p>
            <w:r>
              <w:t>Index date 필터링</w:t>
            </w:r>
          </w:p>
        </w:tc>
        <w:tc>
          <w:tcPr>
            <w:tcW w:type="dxa" w:w="2160"/>
          </w:tcPr>
          <w:p>
            <w:r>
              <w:t>411명</w:t>
            </w:r>
          </w:p>
        </w:tc>
        <w:tc>
          <w:tcPr>
            <w:tcW w:type="dxa" w:w="2160"/>
          </w:tcPr>
          <w:p>
            <w:r>
              <w:t>1,797명</w:t>
            </w:r>
          </w:p>
        </w:tc>
        <w:tc>
          <w:tcPr>
            <w:tcW w:type="dxa" w:w="2160"/>
          </w:tcPr>
          <w:p>
            <w:r>
              <w:t>제외: 18명</w:t>
            </w:r>
          </w:p>
        </w:tc>
      </w:tr>
      <w:tr>
        <w:tc>
          <w:tcPr>
            <w:tcW w:type="dxa" w:w="2160"/>
          </w:tcPr>
          <w:p>
            <w:r>
              <w:t>2차 Fine Matching (1:4)</w:t>
            </w:r>
          </w:p>
        </w:tc>
        <w:tc>
          <w:tcPr>
            <w:tcW w:type="dxa" w:w="2160"/>
          </w:tcPr>
          <w:p>
            <w:r>
              <w:t>241명</w:t>
            </w:r>
          </w:p>
        </w:tc>
        <w:tc>
          <w:tcPr>
            <w:tcW w:type="dxa" w:w="2160"/>
          </w:tcPr>
          <w:p>
            <w:r>
              <w:t>867명</w:t>
            </w:r>
          </w:p>
        </w:tc>
        <w:tc>
          <w:tcPr>
            <w:tcW w:type="dxa" w:w="2160"/>
          </w:tcPr>
          <w:p>
            <w:r>
              <w:t>Index나이, BMI, 수술연도</w:t>
            </w:r>
          </w:p>
        </w:tc>
      </w:tr>
    </w:tbl>
    <w:p/>
    <w:p>
      <w:pPr>
        <w:jc w:val="center"/>
      </w:pPr>
      <w:r>
        <w:rPr>
          <w:b/>
        </w:rPr>
        <w:t xml:space="preserve">Table 1. </w:t>
      </w:r>
      <w:r>
        <w:t>코호트 선정 흐름도.</w:t>
      </w:r>
    </w:p>
    <w:p>
      <w:pPr>
        <w:pStyle w:val="Heading1"/>
      </w:pPr>
      <w:r>
        <w:t>2. 최종 코호트 특성</w:t>
      </w:r>
    </w:p>
    <w:p>
      <w:pPr>
        <w:pStyle w:val="Heading2"/>
      </w:pPr>
      <w:r>
        <w:t>2.1 코호트 크기 및 백신 종류</w:t>
      </w:r>
    </w:p>
    <w:p>
      <w:r>
        <w:t>최종 분석 코호트: 총 1,108명 (접종군 241명, 비접종군 867명)</w:t>
      </w:r>
    </w:p>
    <w:p>
      <w:r>
        <w:rPr>
          <w:b/>
        </w:rPr>
        <w:br/>
        <w:t>접종군 백신 종류 분포: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백신 종류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 (%)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수술-접종 간격 (평균)</w:t>
            </w:r>
          </w:p>
        </w:tc>
      </w:tr>
      <w:tr>
        <w:tc>
          <w:tcPr>
            <w:tcW w:type="dxa" w:w="2880"/>
          </w:tcPr>
          <w:p>
            <w:r>
              <w:t>Gardasil9</w:t>
            </w:r>
          </w:p>
        </w:tc>
        <w:tc>
          <w:tcPr>
            <w:tcW w:type="dxa" w:w="2880"/>
          </w:tcPr>
          <w:p>
            <w:r>
              <w:t>128 (53.1%)</w:t>
            </w:r>
          </w:p>
        </w:tc>
        <w:tc>
          <w:tcPr>
            <w:tcW w:type="dxa" w:w="2880"/>
          </w:tcPr>
          <w:p>
            <w:r>
              <w:t>265.1일 (8.8개월)</w:t>
            </w:r>
          </w:p>
        </w:tc>
      </w:tr>
      <w:tr>
        <w:tc>
          <w:tcPr>
            <w:tcW w:type="dxa" w:w="2880"/>
          </w:tcPr>
          <w:p>
            <w:r>
              <w:t>Cervarix</w:t>
            </w:r>
          </w:p>
        </w:tc>
        <w:tc>
          <w:tcPr>
            <w:tcW w:type="dxa" w:w="2880"/>
          </w:tcPr>
          <w:p>
            <w:r>
              <w:t>77 (32.0%)</w:t>
            </w:r>
          </w:p>
        </w:tc>
        <w:tc>
          <w:tcPr>
            <w:tcW w:type="dxa" w:w="2880"/>
          </w:tcPr>
          <w:p>
            <w:r>
              <w:t>148.4일 (4.9개월)</w:t>
            </w:r>
          </w:p>
        </w:tc>
      </w:tr>
      <w:tr>
        <w:tc>
          <w:tcPr>
            <w:tcW w:type="dxa" w:w="2880"/>
          </w:tcPr>
          <w:p>
            <w:r>
              <w:t>Gardasil</w:t>
            </w:r>
          </w:p>
        </w:tc>
        <w:tc>
          <w:tcPr>
            <w:tcW w:type="dxa" w:w="2880"/>
          </w:tcPr>
          <w:p>
            <w:r>
              <w:t>36 (14.9%)</w:t>
            </w:r>
          </w:p>
        </w:tc>
        <w:tc>
          <w:tcPr>
            <w:tcW w:type="dxa" w:w="2880"/>
          </w:tcPr>
          <w:p>
            <w:r>
              <w:t>167.7일 (5.6개월)</w:t>
            </w:r>
          </w:p>
        </w:tc>
      </w:tr>
      <w:tr>
        <w:tc>
          <w:tcPr>
            <w:tcW w:type="dxa" w:w="2880"/>
          </w:tcPr>
          <w:p>
            <w:r>
              <w:t>전체</w:t>
            </w:r>
          </w:p>
        </w:tc>
        <w:tc>
          <w:tcPr>
            <w:tcW w:type="dxa" w:w="2880"/>
          </w:tcPr>
          <w:p>
            <w:r>
              <w:t>241 (100%)</w:t>
            </w:r>
          </w:p>
        </w:tc>
        <w:tc>
          <w:tcPr>
            <w:tcW w:type="dxa" w:w="2880"/>
          </w:tcPr>
          <w:p>
            <w:r>
              <w:t>213.2일 (7.1개월)</w:t>
            </w:r>
          </w:p>
        </w:tc>
      </w:tr>
    </w:tbl>
    <w:p/>
    <w:p>
      <w:pPr>
        <w:jc w:val="center"/>
      </w:pPr>
      <w:r>
        <w:rPr>
          <w:b/>
        </w:rPr>
        <w:t xml:space="preserve">Table 2. </w:t>
      </w:r>
      <w:r>
        <w:t>접종군의 백신 종류 분포 및 수술-접종 간격.</w:t>
      </w:r>
    </w:p>
    <w:p>
      <w:pPr>
        <w:pStyle w:val="Heading2"/>
      </w:pPr>
      <w:r>
        <w:t>2.2 Baseline 특성 비교</w:t>
      </w:r>
    </w:p>
    <w:p>
      <w:r>
        <w:drawing>
          <wp:inline xmlns:a="http://schemas.openxmlformats.org/drawingml/2006/main" xmlns:pic="http://schemas.openxmlformats.org/drawingml/2006/picture">
            <wp:extent cx="5943600" cy="194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1. </w:t>
      </w:r>
      <w:r>
        <w:t>접종군과 비접종군의 Baseline 특성 분포 비교.</w:t>
      </w:r>
    </w:p>
    <w:p>
      <w:pPr>
        <w:pStyle w:val="Heading1"/>
      </w:pPr>
      <w:r>
        <w:t>3. 병변 재발 및 HPV 감염 분석</w:t>
      </w:r>
    </w:p>
    <w:p>
      <w:pPr>
        <w:pStyle w:val="Heading2"/>
      </w:pPr>
      <w:r>
        <w:t>3.1 결과 발생률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접종군 (n=241)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비접종군 (n=867)</w:t>
            </w:r>
          </w:p>
        </w:tc>
      </w:tr>
      <w:tr>
        <w:tc>
          <w:tcPr>
            <w:tcW w:type="dxa" w:w="2880"/>
          </w:tcPr>
          <w:p>
            <w:r>
              <w:t>병변 재발</w:t>
            </w:r>
          </w:p>
        </w:tc>
        <w:tc>
          <w:tcPr>
            <w:tcW w:type="dxa" w:w="2880"/>
          </w:tcPr>
          <w:p>
            <w:r>
              <w:t>13 (5.4%)</w:t>
            </w:r>
          </w:p>
        </w:tc>
        <w:tc>
          <w:tcPr>
            <w:tcW w:type="dxa" w:w="2880"/>
          </w:tcPr>
          <w:p>
            <w:r>
              <w:t>57 (6.6%)</w:t>
            </w:r>
          </w:p>
        </w:tc>
      </w:tr>
      <w:tr>
        <w:tc>
          <w:tcPr>
            <w:tcW w:type="dxa" w:w="2880"/>
          </w:tcPr>
          <w:p>
            <w:r>
              <w:t>HPV 재감염</w:t>
            </w:r>
          </w:p>
        </w:tc>
        <w:tc>
          <w:tcPr>
            <w:tcW w:type="dxa" w:w="2880"/>
          </w:tcPr>
          <w:p>
            <w:r>
              <w:t>149 (61.8%)</w:t>
            </w:r>
          </w:p>
        </w:tc>
        <w:tc>
          <w:tcPr>
            <w:tcW w:type="dxa" w:w="2880"/>
          </w:tcPr>
          <w:p>
            <w:r>
              <w:t>546 (63.0%)</w:t>
            </w:r>
          </w:p>
        </w:tc>
      </w:tr>
    </w:tbl>
    <w:p/>
    <w:p>
      <w:pPr>
        <w:jc w:val="center"/>
      </w:pPr>
      <w:r>
        <w:rPr>
          <w:b/>
        </w:rPr>
        <w:t xml:space="preserve">Table 3. </w:t>
      </w:r>
      <w:r>
        <w:t>접종군과 비접종군의 결과 발생률.</w:t>
      </w:r>
    </w:p>
    <w:p>
      <w:pPr>
        <w:pStyle w:val="Heading2"/>
      </w:pPr>
      <w:r>
        <w:t>3.2 Kaplan-Meier 생존 분석</w:t>
      </w:r>
    </w:p>
    <w:p>
      <w:r>
        <w:drawing>
          <wp:inline xmlns:a="http://schemas.openxmlformats.org/drawingml/2006/main" xmlns:pic="http://schemas.openxmlformats.org/drawingml/2006/picture">
            <wp:extent cx="5943600" cy="31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kaplan_me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2. </w:t>
      </w:r>
      <w:r>
        <w:t>전체 코호트 Kaplan-Meier 생존 곡선. (A) 병변 재발, (B) HPV 재감염.</w:t>
      </w:r>
    </w:p>
    <w:p>
      <w:pPr>
        <w:pStyle w:val="Heading2"/>
      </w:pPr>
      <w:r>
        <w:t>3.3 Cox 비례위험 회귀분석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HR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 (Events)</w:t>
            </w:r>
          </w:p>
        </w:tc>
      </w:tr>
      <w:tr>
        <w:tc>
          <w:tcPr>
            <w:tcW w:type="dxa" w:w="2160"/>
          </w:tcPr>
          <w:p>
            <w:r>
              <w:t>병변 재발</w:t>
            </w:r>
          </w:p>
        </w:tc>
        <w:tc>
          <w:tcPr>
            <w:tcW w:type="dxa" w:w="2160"/>
          </w:tcPr>
          <w:p>
            <w:r>
              <w:t>0.795 (0.435-1.454)</w:t>
            </w:r>
          </w:p>
        </w:tc>
        <w:tc>
          <w:tcPr>
            <w:tcW w:type="dxa" w:w="2160"/>
          </w:tcPr>
          <w:p>
            <w:r>
              <w:t>0.4566</w:t>
            </w:r>
          </w:p>
        </w:tc>
        <w:tc>
          <w:tcPr>
            <w:tcW w:type="dxa" w:w="2160"/>
          </w:tcPr>
          <w:p>
            <w:r>
              <w:t>1108 (70)</w:t>
            </w:r>
          </w:p>
        </w:tc>
      </w:tr>
      <w:tr>
        <w:tc>
          <w:tcPr>
            <w:tcW w:type="dxa" w:w="2160"/>
          </w:tcPr>
          <w:p>
            <w:r>
              <w:t>HPV 재감염</w:t>
            </w:r>
          </w:p>
        </w:tc>
        <w:tc>
          <w:tcPr>
            <w:tcW w:type="dxa" w:w="2160"/>
          </w:tcPr>
          <w:p>
            <w:r>
              <w:t>0.908 (0.757-1.088)</w:t>
            </w:r>
          </w:p>
        </w:tc>
        <w:tc>
          <w:tcPr>
            <w:tcW w:type="dxa" w:w="2160"/>
          </w:tcPr>
          <w:p>
            <w:r>
              <w:t>0.2963</w:t>
            </w:r>
          </w:p>
        </w:tc>
        <w:tc>
          <w:tcPr>
            <w:tcW w:type="dxa" w:w="2160"/>
          </w:tcPr>
          <w:p>
            <w:r>
              <w:t>1108 (695)</w:t>
            </w:r>
          </w:p>
        </w:tc>
      </w:tr>
    </w:tbl>
    <w:p/>
    <w:p>
      <w:pPr>
        <w:jc w:val="center"/>
      </w:pPr>
      <w:r>
        <w:rPr>
          <w:b/>
        </w:rPr>
        <w:t xml:space="preserve">Table 4. </w:t>
      </w:r>
      <w:r>
        <w:t>Cox 비례위험 회귀분석 결과 (연령 보정).</w:t>
      </w:r>
    </w:p>
    <w:p>
      <w:pPr>
        <w:pStyle w:val="Heading1"/>
      </w:pPr>
      <w:r>
        <w:t>4. Subgroup 분석 I: 연령별 민감도 분석</w:t>
      </w:r>
    </w:p>
    <w:p>
      <w:pPr>
        <w:pStyle w:val="Heading2"/>
      </w:pPr>
      <w:r>
        <w:t>4.1 Forest Plot</w:t>
      </w:r>
    </w:p>
    <w:p>
      <w:r>
        <w:drawing>
          <wp:inline xmlns:a="http://schemas.openxmlformats.org/drawingml/2006/main" xmlns:pic="http://schemas.openxmlformats.org/drawingml/2006/picture">
            <wp:extent cx="5486400" cy="325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forest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3. </w:t>
      </w:r>
      <w:r>
        <w:t>연령별 Subgroup 분석 Forest Plot. * p &lt; 0.05.</w:t>
      </w:r>
    </w:p>
    <w:p>
      <w:pPr>
        <w:pStyle w:val="Heading2"/>
      </w:pPr>
      <w:r>
        <w:t>4.2 유의한 Subgroup의 Kaplan-Meier 곡선</w:t>
      </w:r>
    </w:p>
    <w:p>
      <w:r>
        <w:drawing>
          <wp:inline xmlns:a="http://schemas.openxmlformats.org/drawingml/2006/main" xmlns:pic="http://schemas.openxmlformats.org/drawingml/2006/picture">
            <wp:extent cx="5029200" cy="4430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ubgroup_k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4. </w:t>
      </w:r>
      <w:r>
        <w:t>30-52세 연령군, 2년 추적 기간에서의 Kaplan-Meier 곡선 (HR=0.230, p=0.044).</w:t>
      </w:r>
    </w:p>
    <w:p>
      <w:pPr>
        <w:pStyle w:val="Heading2"/>
      </w:pPr>
      <w:r>
        <w:t>4.3 유의한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연령 범위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최대 추적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(Events)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728"/>
          </w:tcPr>
          <w:p>
            <w:r>
              <w:t>30-52세</w:t>
            </w:r>
          </w:p>
        </w:tc>
        <w:tc>
          <w:tcPr>
            <w:tcW w:type="dxa" w:w="1728"/>
          </w:tcPr>
          <w:p>
            <w:r>
              <w:t>2년</w:t>
            </w:r>
          </w:p>
        </w:tc>
        <w:tc>
          <w:tcPr>
            <w:tcW w:type="dxa" w:w="1728"/>
          </w:tcPr>
          <w:p>
            <w:r>
              <w:t>802 (33)</w:t>
            </w:r>
          </w:p>
        </w:tc>
        <w:tc>
          <w:tcPr>
            <w:tcW w:type="dxa" w:w="1728"/>
          </w:tcPr>
          <w:p>
            <w:r>
              <w:t>0.230 (0.055-0.963)</w:t>
            </w:r>
          </w:p>
        </w:tc>
        <w:tc>
          <w:tcPr>
            <w:tcW w:type="dxa" w:w="1728"/>
          </w:tcPr>
          <w:p>
            <w:r>
              <w:t>0.0443</w:t>
            </w:r>
          </w:p>
        </w:tc>
      </w:tr>
      <w:tr>
        <w:tc>
          <w:tcPr>
            <w:tcW w:type="dxa" w:w="1728"/>
          </w:tcPr>
          <w:p>
            <w:r>
              <w:t>20-52세</w:t>
            </w:r>
          </w:p>
        </w:tc>
        <w:tc>
          <w:tcPr>
            <w:tcW w:type="dxa" w:w="1728"/>
          </w:tcPr>
          <w:p>
            <w:r>
              <w:t>2년</w:t>
            </w:r>
          </w:p>
        </w:tc>
        <w:tc>
          <w:tcPr>
            <w:tcW w:type="dxa" w:w="1728"/>
          </w:tcPr>
          <w:p>
            <w:r>
              <w:t>1046 (38)</w:t>
            </w:r>
          </w:p>
        </w:tc>
        <w:tc>
          <w:tcPr>
            <w:tcW w:type="dxa" w:w="1728"/>
          </w:tcPr>
          <w:p>
            <w:r>
              <w:t>0.299 (0.092-0.973)</w:t>
            </w:r>
          </w:p>
        </w:tc>
        <w:tc>
          <w:tcPr>
            <w:tcW w:type="dxa" w:w="1728"/>
          </w:tcPr>
          <w:p>
            <w:r>
              <w:t>0.0448</w:t>
            </w:r>
          </w:p>
        </w:tc>
      </w:tr>
      <w:tr>
        <w:tc>
          <w:tcPr>
            <w:tcW w:type="dxa" w:w="1728"/>
          </w:tcPr>
          <w:p>
            <w:r>
              <w:t>22-52세</w:t>
            </w:r>
          </w:p>
        </w:tc>
        <w:tc>
          <w:tcPr>
            <w:tcW w:type="dxa" w:w="1728"/>
          </w:tcPr>
          <w:p>
            <w:r>
              <w:t>2년</w:t>
            </w:r>
          </w:p>
        </w:tc>
        <w:tc>
          <w:tcPr>
            <w:tcW w:type="dxa" w:w="1728"/>
          </w:tcPr>
          <w:p>
            <w:r>
              <w:t>1029 (38)</w:t>
            </w:r>
          </w:p>
        </w:tc>
        <w:tc>
          <w:tcPr>
            <w:tcW w:type="dxa" w:w="1728"/>
          </w:tcPr>
          <w:p>
            <w:r>
              <w:t>0.301 (0.092-0.977)</w:t>
            </w:r>
          </w:p>
        </w:tc>
        <w:tc>
          <w:tcPr>
            <w:tcW w:type="dxa" w:w="1728"/>
          </w:tcPr>
          <w:p>
            <w:r>
              <w:t>0.0457</w:t>
            </w:r>
          </w:p>
        </w:tc>
      </w:tr>
      <w:tr>
        <w:tc>
          <w:tcPr>
            <w:tcW w:type="dxa" w:w="1728"/>
          </w:tcPr>
          <w:p>
            <w:r>
              <w:t>24-52세</w:t>
            </w:r>
          </w:p>
        </w:tc>
        <w:tc>
          <w:tcPr>
            <w:tcW w:type="dxa" w:w="1728"/>
          </w:tcPr>
          <w:p>
            <w:r>
              <w:t>2년</w:t>
            </w:r>
          </w:p>
        </w:tc>
        <w:tc>
          <w:tcPr>
            <w:tcW w:type="dxa" w:w="1728"/>
          </w:tcPr>
          <w:p>
            <w:r>
              <w:t>1013 (38)</w:t>
            </w:r>
          </w:p>
        </w:tc>
        <w:tc>
          <w:tcPr>
            <w:tcW w:type="dxa" w:w="1728"/>
          </w:tcPr>
          <w:p>
            <w:r>
              <w:t>0.301 (0.093-0.980)</w:t>
            </w:r>
          </w:p>
        </w:tc>
        <w:tc>
          <w:tcPr>
            <w:tcW w:type="dxa" w:w="1728"/>
          </w:tcPr>
          <w:p>
            <w:r>
              <w:t>0.0463</w:t>
            </w:r>
          </w:p>
        </w:tc>
      </w:tr>
      <w:tr>
        <w:tc>
          <w:tcPr>
            <w:tcW w:type="dxa" w:w="1728"/>
          </w:tcPr>
          <w:p>
            <w:r>
              <w:t>30-50세</w:t>
            </w:r>
          </w:p>
        </w:tc>
        <w:tc>
          <w:tcPr>
            <w:tcW w:type="dxa" w:w="1728"/>
          </w:tcPr>
          <w:p>
            <w:r>
              <w:t>2년</w:t>
            </w:r>
          </w:p>
        </w:tc>
        <w:tc>
          <w:tcPr>
            <w:tcW w:type="dxa" w:w="1728"/>
          </w:tcPr>
          <w:p>
            <w:r>
              <w:t>765 (32)</w:t>
            </w:r>
          </w:p>
        </w:tc>
        <w:tc>
          <w:tcPr>
            <w:tcW w:type="dxa" w:w="1728"/>
          </w:tcPr>
          <w:p>
            <w:r>
              <w:t>0.238 (0.057-0.999)</w:t>
            </w:r>
          </w:p>
        </w:tc>
        <w:tc>
          <w:tcPr>
            <w:tcW w:type="dxa" w:w="1728"/>
          </w:tcPr>
          <w:p>
            <w:r>
              <w:t>0.0498</w:t>
            </w:r>
          </w:p>
        </w:tc>
      </w:tr>
    </w:tbl>
    <w:p/>
    <w:p>
      <w:pPr>
        <w:jc w:val="center"/>
      </w:pPr>
      <w:r>
        <w:rPr>
          <w:b/>
        </w:rPr>
        <w:t xml:space="preserve">Table 5. </w:t>
      </w:r>
      <w:r>
        <w:t>연령별 Subgroup 분석에서 유의한 결과 (p&lt;0.05).</w:t>
      </w:r>
    </w:p>
    <w:p>
      <w:pPr>
        <w:pStyle w:val="Heading1"/>
      </w:pPr>
      <w:r>
        <w:t>5. Subgroup 분석 II: 백신 종류별 분석</w:t>
      </w:r>
    </w:p>
    <w:p>
      <w:pPr>
        <w:pStyle w:val="Heading2"/>
      </w:pPr>
      <w:r>
        <w:t>5.1 분석 방법</w:t>
      </w:r>
    </w:p>
    <w:p>
      <w:r>
        <w:t>각 백신 종류(Gardasil9, Cervarix, Gardasil)별로 해당 백신 접종군과 매칭된 비접종군을 비교하여 Cox 비례위험 회귀분석을 수행하였다.</w:t>
      </w:r>
    </w:p>
    <w:p>
      <w:pPr>
        <w:pStyle w:val="Heading2"/>
      </w:pPr>
      <w:r>
        <w:t>5.2 백신 종류별 Forest Plot</w:t>
      </w:r>
    </w:p>
    <w:p>
      <w:r>
        <w:drawing>
          <wp:inline xmlns:a="http://schemas.openxmlformats.org/drawingml/2006/main" xmlns:pic="http://schemas.openxmlformats.org/drawingml/2006/picture">
            <wp:extent cx="5943600" cy="21006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vaccine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 xml:space="preserve">Figure 5. </w:t>
      </w:r>
      <w:r>
        <w:t>백신 종류별 Subgroup 분석 Forest Plot. (A) 병변 재발, (B) HPV 재감염. * p &lt; 0.05.</w:t>
      </w:r>
    </w:p>
    <w:p>
      <w:pPr>
        <w:pStyle w:val="Heading2"/>
      </w:pPr>
      <w:r>
        <w:t>5.3 백신 종류별 분석 결과</w:t>
      </w:r>
    </w:p>
    <w:p>
      <w:r>
        <w:rPr>
          <w:b/>
        </w:rPr>
        <w:t>병변 재발: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백신 종류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접종군/비접종군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728"/>
          </w:tcPr>
          <w:p>
            <w:r>
              <w:t>Gardasil9</w:t>
            </w:r>
          </w:p>
        </w:tc>
        <w:tc>
          <w:tcPr>
            <w:tcW w:type="dxa" w:w="1728"/>
          </w:tcPr>
          <w:p>
            <w:r>
              <w:t>128/463</w:t>
            </w:r>
          </w:p>
        </w:tc>
        <w:tc>
          <w:tcPr>
            <w:tcW w:type="dxa" w:w="1728"/>
          </w:tcPr>
          <w:p>
            <w:r>
              <w:t>5/28</w:t>
            </w:r>
          </w:p>
        </w:tc>
        <w:tc>
          <w:tcPr>
            <w:tcW w:type="dxa" w:w="1728"/>
          </w:tcPr>
          <w:p>
            <w:r>
              <w:t>0.614 (0.236-1.596)</w:t>
            </w:r>
          </w:p>
        </w:tc>
        <w:tc>
          <w:tcPr>
            <w:tcW w:type="dxa" w:w="1728"/>
          </w:tcPr>
          <w:p>
            <w:r>
              <w:t>0.3173</w:t>
            </w:r>
          </w:p>
        </w:tc>
      </w:tr>
      <w:tr>
        <w:tc>
          <w:tcPr>
            <w:tcW w:type="dxa" w:w="1728"/>
          </w:tcPr>
          <w:p>
            <w:r>
              <w:t>Cervarix</w:t>
            </w:r>
          </w:p>
        </w:tc>
        <w:tc>
          <w:tcPr>
            <w:tcW w:type="dxa" w:w="1728"/>
          </w:tcPr>
          <w:p>
            <w:r>
              <w:t>77/273</w:t>
            </w:r>
          </w:p>
        </w:tc>
        <w:tc>
          <w:tcPr>
            <w:tcW w:type="dxa" w:w="1728"/>
          </w:tcPr>
          <w:p>
            <w:r>
              <w:t>6/19</w:t>
            </w:r>
          </w:p>
        </w:tc>
        <w:tc>
          <w:tcPr>
            <w:tcW w:type="dxa" w:w="1728"/>
          </w:tcPr>
          <w:p>
            <w:r>
              <w:t>1.134 (0.452-2.845)</w:t>
            </w:r>
          </w:p>
        </w:tc>
        <w:tc>
          <w:tcPr>
            <w:tcW w:type="dxa" w:w="1728"/>
          </w:tcPr>
          <w:p>
            <w:r>
              <w:t>0.7882</w:t>
            </w:r>
          </w:p>
        </w:tc>
      </w:tr>
      <w:tr>
        <w:tc>
          <w:tcPr>
            <w:tcW w:type="dxa" w:w="1728"/>
          </w:tcPr>
          <w:p>
            <w:r>
              <w:t>Gardasil</w:t>
            </w:r>
          </w:p>
        </w:tc>
        <w:tc>
          <w:tcPr>
            <w:tcW w:type="dxa" w:w="1728"/>
          </w:tcPr>
          <w:p>
            <w:r>
              <w:t>36/131</w:t>
            </w:r>
          </w:p>
        </w:tc>
        <w:tc>
          <w:tcPr>
            <w:tcW w:type="dxa" w:w="1728"/>
          </w:tcPr>
          <w:p>
            <w:r>
              <w:t>2/10</w:t>
            </w:r>
          </w:p>
        </w:tc>
        <w:tc>
          <w:tcPr>
            <w:tcW w:type="dxa" w:w="1728"/>
          </w:tcPr>
          <w:p>
            <w:r>
              <w:t>0.762 (0.167-3.487)</w:t>
            </w:r>
          </w:p>
        </w:tc>
        <w:tc>
          <w:tcPr>
            <w:tcW w:type="dxa" w:w="1728"/>
          </w:tcPr>
          <w:p>
            <w:r>
              <w:t>0.7262</w:t>
            </w:r>
          </w:p>
        </w:tc>
      </w:tr>
    </w:tbl>
    <w:p/>
    <w:p>
      <w:r>
        <w:rPr>
          <w:b/>
        </w:rPr>
        <w:t>HPV 재감염: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백신 종류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접종군/비접종군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728"/>
          </w:tcPr>
          <w:p>
            <w:r>
              <w:t>Gardasil9</w:t>
            </w:r>
          </w:p>
        </w:tc>
        <w:tc>
          <w:tcPr>
            <w:tcW w:type="dxa" w:w="1728"/>
          </w:tcPr>
          <w:p>
            <w:r>
              <w:t>128/463</w:t>
            </w:r>
          </w:p>
        </w:tc>
        <w:tc>
          <w:tcPr>
            <w:tcW w:type="dxa" w:w="1728"/>
          </w:tcPr>
          <w:p>
            <w:r>
              <w:t>85/315</w:t>
            </w:r>
          </w:p>
        </w:tc>
        <w:tc>
          <w:tcPr>
            <w:tcW w:type="dxa" w:w="1728"/>
          </w:tcPr>
          <w:p>
            <w:r>
              <w:t>0.909 (0.715-1.155)</w:t>
            </w:r>
          </w:p>
        </w:tc>
        <w:tc>
          <w:tcPr>
            <w:tcW w:type="dxa" w:w="1728"/>
          </w:tcPr>
          <w:p>
            <w:r>
              <w:t>0.4344</w:t>
            </w:r>
          </w:p>
        </w:tc>
      </w:tr>
      <w:tr>
        <w:tc>
          <w:tcPr>
            <w:tcW w:type="dxa" w:w="1728"/>
          </w:tcPr>
          <w:p>
            <w:r>
              <w:t>Cervarix</w:t>
            </w:r>
          </w:p>
        </w:tc>
        <w:tc>
          <w:tcPr>
            <w:tcW w:type="dxa" w:w="1728"/>
          </w:tcPr>
          <w:p>
            <w:r>
              <w:t>77/273</w:t>
            </w:r>
          </w:p>
        </w:tc>
        <w:tc>
          <w:tcPr>
            <w:tcW w:type="dxa" w:w="1728"/>
          </w:tcPr>
          <w:p>
            <w:r>
              <w:t>53/157</w:t>
            </w:r>
          </w:p>
        </w:tc>
        <w:tc>
          <w:tcPr>
            <w:tcW w:type="dxa" w:w="1728"/>
          </w:tcPr>
          <w:p>
            <w:r>
              <w:t>1.276 (0.934-1.744)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</w:tr>
      <w:tr>
        <w:tc>
          <w:tcPr>
            <w:tcW w:type="dxa" w:w="1728"/>
          </w:tcPr>
          <w:p>
            <w:r>
              <w:t>Gardasil</w:t>
            </w:r>
          </w:p>
        </w:tc>
        <w:tc>
          <w:tcPr>
            <w:tcW w:type="dxa" w:w="1728"/>
          </w:tcPr>
          <w:p>
            <w:r>
              <w:t>36/131</w:t>
            </w:r>
          </w:p>
        </w:tc>
        <w:tc>
          <w:tcPr>
            <w:tcW w:type="dxa" w:w="1728"/>
          </w:tcPr>
          <w:p>
            <w:r>
              <w:t>11/74</w:t>
            </w:r>
          </w:p>
        </w:tc>
        <w:tc>
          <w:tcPr>
            <w:tcW w:type="dxa" w:w="1728"/>
          </w:tcPr>
          <w:p>
            <w:r>
              <w:t>0.395 (0.209-0.745)</w:t>
            </w:r>
          </w:p>
        </w:tc>
        <w:tc>
          <w:tcPr>
            <w:tcW w:type="dxa" w:w="1728"/>
          </w:tcPr>
          <w:p>
            <w:r>
              <w:t>0.0041 *</w:t>
            </w:r>
          </w:p>
        </w:tc>
      </w:tr>
    </w:tbl>
    <w:p/>
    <w:p>
      <w:pPr>
        <w:jc w:val="center"/>
      </w:pPr>
      <w:r>
        <w:rPr>
          <w:b/>
        </w:rPr>
        <w:t xml:space="preserve">Table 6-7. </w:t>
      </w:r>
      <w:r>
        <w:t>백신 종류별 Cox 회귀분석 결과. * p &lt; 0.05.</w:t>
      </w:r>
    </w:p>
    <w:p>
      <w:pPr>
        <w:pStyle w:val="Heading2"/>
      </w:pPr>
      <w:r>
        <w:t>5.4 주요 발견</w:t>
      </w:r>
    </w:p>
    <w:p>
      <w:r>
        <w:t xml:space="preserve">Gardasil (4가 백신)은 HPV 재감염에서 유의한 보호 효과를 보였다 </w:t>
      </w:r>
      <w:r>
        <w:rPr>
          <w:b/>
        </w:rPr>
        <w:t>(HR=0.395, 95% CI: 0.209-0.745, p=0.004).</w:t>
      </w:r>
      <w:r>
        <w:t xml:space="preserve"> 반면, Gardasil9 (9가 백신)과 Cervarix (2가 백신)에서는 유의한 효과가 관찰되지 않았다.</w:t>
      </w:r>
    </w:p>
    <w:p>
      <w:pPr>
        <w:pStyle w:val="Heading1"/>
      </w:pPr>
      <w:r>
        <w:t>6. 결론</w:t>
      </w:r>
    </w:p>
    <w:p>
      <w:r>
        <w:rPr>
          <w:b/>
        </w:rPr>
        <w:t>주요 발견:</w:t>
      </w:r>
    </w:p>
    <w:p>
      <w:pPr>
        <w:pStyle w:val="ListBullet"/>
      </w:pPr>
      <w:r>
        <w:t>전체 코호트에서 HPV 백신은 통계적으로 유의한 보호 효과를 보이지 않았다 (병변 재발 HR=0.795, HPV HR=0.908).</w:t>
      </w:r>
    </w:p>
    <w:p>
      <w:pPr>
        <w:pStyle w:val="ListBullet"/>
      </w:pPr>
      <w:r>
        <w:t>30-52세 연령군에서 2년 추적 시 병변 재발이 유의하게 감소하였다 (HR=0.230, p=0.044).</w:t>
      </w:r>
    </w:p>
    <w:p>
      <w:pPr>
        <w:pStyle w:val="ListBullet"/>
      </w:pPr>
      <w:r>
        <w:t>Gardasil (4가 백신)은 HPV 재감염에서 유의한 보호 효과를 보였다 (HR=0.395, p=0.004).</w:t>
      </w:r>
    </w:p>
    <w:p>
      <w:pPr>
        <w:pStyle w:val="ListBullet"/>
      </w:pPr>
      <w:r>
        <w:t>수술 후 백신 접종까지 평균 7.1개월 (중앙값 4.2개월)이 소요되었다.</w:t>
      </w:r>
    </w:p>
    <w:p>
      <w:pPr>
        <w:pStyle w:val="Heading2"/>
      </w:pPr>
      <w:r>
        <w:t>6.1 연구 제한점</w:t>
      </w:r>
    </w:p>
    <w:p>
      <w:pPr>
        <w:pStyle w:val="ListBullet"/>
      </w:pPr>
      <w:r>
        <w:t>후향적 연구 설계</w:t>
      </w:r>
    </w:p>
    <w:p>
      <w:pPr>
        <w:pStyle w:val="ListBullet"/>
      </w:pPr>
      <w:r>
        <w:t>적은 사건 수로 인한 검정력 한계</w:t>
      </w:r>
    </w:p>
    <w:p>
      <w:pPr>
        <w:pStyle w:val="ListBullet"/>
      </w:pPr>
      <w:r>
        <w:t>다중 비교 문제</w:t>
      </w:r>
    </w:p>
    <w:p>
      <w:pPr>
        <w:pStyle w:val="ListBullet"/>
      </w:pPr>
      <w:r>
        <w:t>Gardasil 접종군의 작은 표본 크기 (n=36)</w:t>
      </w:r>
    </w:p>
    <w:p>
      <w:pPr>
        <w:pStyle w:val="ListBullet"/>
      </w:pPr>
      <w:r>
        <w:t>백신 접종 동기에 대한 정보 부재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