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Cohort A — Hazard Ratios and Cumulative Incidence (Competing-Risks Analysis)</w:t>
      </w:r>
    </w:p>
    <w:p>
      <w:r>
        <w:rPr>
          <w:b/>
        </w:rPr>
        <w:t xml:space="preserve">Methods. </w:t>
      </w:r>
      <w:r>
        <w:rPr>
          <w:sz w:val="18"/>
        </w:rPr>
        <w:t>In the propensity-score-matched cohort (1:1, n=4,102 after requiring ≥1 day of follow-up), time-to-event analyses were performed for each of five individual comorbidities and two pre-specified composite endpoints: (i) Major Cardiovascular Events (MCE) — the first occurrence of myocardial infarction (Angina/MI), stroke (cerebral infarction or hemorrhage), or pulmonary embolism after the index date; and (ii) Any-of-5 — the first occurrence of any of the five comorbidities (Angina/MI, hypertension, diabetes, stroke, or pulmonary embolism) after the index date. The primary event was the first incident diagnosis; death prior to the primary event was treated as a competing event; remaining patients were censored at last follow-up. Cause-specific hazard ratios (HR) were estimated by Cox proportional-hazards regression treating the competing event as censoring. Subdistribution hazard ratios (sHR) were estimated using the Fine-Gray model implemented as time-varying Cox regression on the Geskus (2011) IPCW-reweighted dataset. Robust standard errors were used. Cumulative incidence functions were estimated non-parametrically with the Aalen-Johansen estimator, which adjusts for the competing risk of death. Patients with prevalent disease at the index date were excluded from the corresponding analysis to define an at-risk population. Time is reported in days; figures display years from index date.</w:t>
      </w:r>
    </w:p>
    <w:p>
      <w:pPr>
        <w:pStyle w:val="Heading1"/>
      </w:pPr>
      <w:r>
        <w:t>Table 1. Hazard Ratios — Composite Endpoints and Individual Comorbidities (PSM 1:1 cohort)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Vaccinated</w:t>
              <w:br/>
              <w:t>events/n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Non-vaccinated</w:t>
              <w:br/>
              <w:t>events/n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Competing</w:t>
              <w:br/>
              <w:t>(death)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Cause-specific HR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Cause-specific 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Fine-Gray sHR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Fine-Gray p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Angina/MI (협심증/심근경색)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3/2051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1/2051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Hypertension (고혈압)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8/2041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7/2045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1.491 (0.531–4.182)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1.508 (0.546–4.165)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0.428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Diabetes (당뇨)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22/2037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22/2041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1.301 (0.717–2.359)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1.307 (0.723–2.362)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0.375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Stroke (뇌출혈/뇌경색)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0/2051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0/2051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PE (폐색전증)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0/2051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1/2051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★ MCE (MI / Stroke / PE)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3/2051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2/2051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1.965 (0.310–12.454)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1.979 (0.330–11.867)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0.455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★ Any of 5 comorbidities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30/2027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30/2035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1.304 (0.782–2.175)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1.313 (0.791–2.180)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0.292</w:t>
            </w:r>
          </w:p>
        </w:tc>
      </w:tr>
    </w:tbl>
    <w:p/>
    <w:p>
      <w:r>
        <w:rPr>
          <w:b/>
        </w:rPr>
        <w:t xml:space="preserve">Footnote: </w:t>
      </w:r>
      <w:r>
        <w:rPr>
          <w:sz w:val="16"/>
        </w:rPr>
        <w:t>Cause-specific hazard ratios (HR) treat death as right-censoring; Fine-Gray subdistribution hazard ratios (sHR) keep subjects with a competing event in the risk set with IPCW-decreasing weights (Geskus 2011). Robust standard errors are reported. With very low competing-event rates (death &lt;0.5%), cause-specific and Fine-Gray estimates are expected to be similar. Outcomes with no events in either group cannot be estimated and are reported as "-". Prevalent (baseline) cases were excluded from each outcome-specific analysis to define an at-risk population.</w:t>
      </w:r>
    </w:p>
    <w:p>
      <w:pPr>
        <w:pStyle w:val="Heading1"/>
      </w:pPr>
      <w:r>
        <w:t>Figure 1. Cumulative Incidence (Aalen-Johansen) and Hazard Ratios</w:t>
      </w:r>
    </w:p>
    <w:p>
      <w:r>
        <w:drawing>
          <wp:inline xmlns:a="http://schemas.openxmlformats.org/drawingml/2006/main" xmlns:pic="http://schemas.openxmlformats.org/drawingml/2006/picture">
            <wp:extent cx="5943600" cy="4869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a_psm_cif_h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Cumulative incidence functions (CIF) are estimated by the Aalen-Johansen estimator with death as the competing event; shaded areas show 95% pointwise confidence intervals. The bottom-right panel displays cause-specific and Fine-Gray subdistribution HRs (point estimate and 95% CI) on the log scale; the dashed vertical line at HR=1 represents the null. Time axis: years from index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