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Methodology revisions — addressing reviewer comments</w:t>
      </w:r>
    </w:p>
    <w:p>
      <w:r>
        <w:rPr>
          <w:sz w:val="18"/>
        </w:rPr>
        <w:t>This document summarises the analyses re-run in response to the methodology review (C1, C2, C3, I1, I2, I3, I4). All point estimates of hazard ratios are unchanged from the previous version because the matching structure does not enter the hazard function; the cluster-robust standard errors below differ slightly from the naive ones, with a minimal practical impact on inferences.</w:t>
      </w:r>
    </w:p>
    <w:p>
      <w:pPr>
        <w:pStyle w:val="Heading1"/>
      </w:pPr>
      <w:r>
        <w:t>Table R1. Cohort A — Cluster-robust HRs with person-time and PH global p-values</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pPr>
              <w:jc w:val="center"/>
            </w:pPr>
            <w:r>
              <w:rPr>
                <w:b/>
                <w:sz w:val="16"/>
              </w:rPr>
              <w:t>Outcome</w:t>
            </w:r>
          </w:p>
        </w:tc>
        <w:tc>
          <w:tcPr>
            <w:tcW w:type="dxa" w:w="864"/>
          </w:tcPr>
          <w:p>
            <w:pPr>
              <w:jc w:val="center"/>
            </w:pPr>
            <w:r>
              <w:rPr>
                <w:b/>
                <w:sz w:val="16"/>
              </w:rPr>
              <w:t>Vac events/n</w:t>
            </w:r>
          </w:p>
        </w:tc>
        <w:tc>
          <w:tcPr>
            <w:tcW w:type="dxa" w:w="864"/>
          </w:tcPr>
          <w:p>
            <w:pPr>
              <w:jc w:val="center"/>
            </w:pPr>
            <w:r>
              <w:rPr>
                <w:b/>
                <w:sz w:val="16"/>
              </w:rPr>
              <w:t>Ctl events/n</w:t>
            </w:r>
          </w:p>
        </w:tc>
        <w:tc>
          <w:tcPr>
            <w:tcW w:type="dxa" w:w="864"/>
          </w:tcPr>
          <w:p>
            <w:pPr>
              <w:jc w:val="center"/>
            </w:pPr>
            <w:r>
              <w:rPr>
                <w:b/>
                <w:sz w:val="16"/>
              </w:rPr>
              <w:t>Vac PY</w:t>
            </w:r>
          </w:p>
        </w:tc>
        <w:tc>
          <w:tcPr>
            <w:tcW w:type="dxa" w:w="864"/>
          </w:tcPr>
          <w:p>
            <w:pPr>
              <w:jc w:val="center"/>
            </w:pPr>
            <w:r>
              <w:rPr>
                <w:b/>
                <w:sz w:val="16"/>
              </w:rPr>
              <w:t>Ctl PY</w:t>
            </w:r>
          </w:p>
        </w:tc>
        <w:tc>
          <w:tcPr>
            <w:tcW w:type="dxa" w:w="864"/>
          </w:tcPr>
          <w:p>
            <w:pPr>
              <w:jc w:val="center"/>
            </w:pPr>
            <w:r>
              <w:rPr>
                <w:b/>
                <w:sz w:val="16"/>
              </w:rPr>
              <w:t>IR vac /1000PY</w:t>
            </w:r>
          </w:p>
        </w:tc>
        <w:tc>
          <w:tcPr>
            <w:tcW w:type="dxa" w:w="864"/>
          </w:tcPr>
          <w:p>
            <w:pPr>
              <w:jc w:val="center"/>
            </w:pPr>
            <w:r>
              <w:rPr>
                <w:b/>
                <w:sz w:val="16"/>
              </w:rPr>
              <w:t>IR ctl /1000PY</w:t>
            </w:r>
          </w:p>
        </w:tc>
        <w:tc>
          <w:tcPr>
            <w:tcW w:type="dxa" w:w="864"/>
          </w:tcPr>
          <w:p>
            <w:pPr>
              <w:jc w:val="center"/>
            </w:pPr>
            <w:r>
              <w:rPr>
                <w:b/>
                <w:sz w:val="16"/>
              </w:rPr>
              <w:t>HR (95% CI, cluster-robust)</w:t>
            </w:r>
          </w:p>
        </w:tc>
        <w:tc>
          <w:tcPr>
            <w:tcW w:type="dxa" w:w="864"/>
          </w:tcPr>
          <w:p>
            <w:pPr>
              <w:jc w:val="center"/>
            </w:pPr>
            <w:r>
              <w:rPr>
                <w:b/>
                <w:sz w:val="16"/>
              </w:rPr>
              <w:t>p</w:t>
            </w:r>
          </w:p>
        </w:tc>
        <w:tc>
          <w:tcPr>
            <w:tcW w:type="dxa" w:w="864"/>
          </w:tcPr>
          <w:p>
            <w:pPr>
              <w:jc w:val="center"/>
            </w:pPr>
            <w:r>
              <w:rPr>
                <w:b/>
                <w:sz w:val="16"/>
              </w:rPr>
              <w:t>PH p (Schoenfeld)</w:t>
            </w:r>
          </w:p>
        </w:tc>
      </w:tr>
      <w:tr>
        <w:tc>
          <w:tcPr>
            <w:tcW w:type="dxa" w:w="864"/>
          </w:tcPr>
          <w:p>
            <w:r>
              <w:rPr>
                <w:sz w:val="16"/>
              </w:rPr>
              <w:t>Any-of-5</w:t>
            </w:r>
          </w:p>
        </w:tc>
        <w:tc>
          <w:tcPr>
            <w:tcW w:type="dxa" w:w="864"/>
          </w:tcPr>
          <w:p>
            <w:pPr>
              <w:jc w:val="center"/>
            </w:pPr>
            <w:r>
              <w:rPr>
                <w:sz w:val="16"/>
              </w:rPr>
              <w:t>29/2030</w:t>
            </w:r>
          </w:p>
        </w:tc>
        <w:tc>
          <w:tcPr>
            <w:tcW w:type="dxa" w:w="864"/>
          </w:tcPr>
          <w:p>
            <w:pPr>
              <w:jc w:val="center"/>
            </w:pPr>
            <w:r>
              <w:rPr>
                <w:sz w:val="16"/>
              </w:rPr>
              <w:t>30/2038</w:t>
            </w:r>
          </w:p>
        </w:tc>
        <w:tc>
          <w:tcPr>
            <w:tcW w:type="dxa" w:w="864"/>
          </w:tcPr>
          <w:p>
            <w:pPr>
              <w:jc w:val="center"/>
            </w:pPr>
            <w:r>
              <w:rPr>
                <w:sz w:val="16"/>
              </w:rPr>
              <w:t>12106</w:t>
            </w:r>
          </w:p>
        </w:tc>
        <w:tc>
          <w:tcPr>
            <w:tcW w:type="dxa" w:w="864"/>
          </w:tcPr>
          <w:p>
            <w:pPr>
              <w:jc w:val="center"/>
            </w:pPr>
            <w:r>
              <w:rPr>
                <w:sz w:val="16"/>
              </w:rPr>
              <w:t>15114</w:t>
            </w:r>
          </w:p>
        </w:tc>
        <w:tc>
          <w:tcPr>
            <w:tcW w:type="dxa" w:w="864"/>
          </w:tcPr>
          <w:p>
            <w:pPr>
              <w:jc w:val="center"/>
            </w:pPr>
            <w:r>
              <w:rPr>
                <w:sz w:val="16"/>
              </w:rPr>
              <w:t>2.40</w:t>
            </w:r>
          </w:p>
        </w:tc>
        <w:tc>
          <w:tcPr>
            <w:tcW w:type="dxa" w:w="864"/>
          </w:tcPr>
          <w:p>
            <w:pPr>
              <w:jc w:val="center"/>
            </w:pPr>
            <w:r>
              <w:rPr>
                <w:sz w:val="16"/>
              </w:rPr>
              <w:t>1.98</w:t>
            </w:r>
          </w:p>
        </w:tc>
        <w:tc>
          <w:tcPr>
            <w:tcW w:type="dxa" w:w="864"/>
          </w:tcPr>
          <w:p>
            <w:pPr>
              <w:jc w:val="center"/>
            </w:pPr>
            <w:r>
              <w:rPr>
                <w:sz w:val="16"/>
              </w:rPr>
              <w:t>1.263 (0.752–2.121)</w:t>
            </w:r>
          </w:p>
        </w:tc>
        <w:tc>
          <w:tcPr>
            <w:tcW w:type="dxa" w:w="864"/>
          </w:tcPr>
          <w:p>
            <w:pPr>
              <w:jc w:val="center"/>
            </w:pPr>
            <w:r>
              <w:rPr>
                <w:sz w:val="16"/>
              </w:rPr>
              <w:t>0.377</w:t>
            </w:r>
          </w:p>
        </w:tc>
        <w:tc>
          <w:tcPr>
            <w:tcW w:type="dxa" w:w="864"/>
          </w:tcPr>
          <w:p>
            <w:pPr>
              <w:jc w:val="center"/>
            </w:pPr>
            <w:r>
              <w:rPr>
                <w:sz w:val="16"/>
              </w:rPr>
              <w:t>0.341</w:t>
            </w:r>
          </w:p>
        </w:tc>
      </w:tr>
      <w:tr>
        <w:tc>
          <w:tcPr>
            <w:tcW w:type="dxa" w:w="864"/>
          </w:tcPr>
          <w:p>
            <w:r>
              <w:rPr>
                <w:sz w:val="16"/>
              </w:rPr>
              <w:t>MCE</w:t>
            </w:r>
          </w:p>
        </w:tc>
        <w:tc>
          <w:tcPr>
            <w:tcW w:type="dxa" w:w="864"/>
          </w:tcPr>
          <w:p>
            <w:pPr>
              <w:jc w:val="center"/>
            </w:pPr>
            <w:r>
              <w:rPr>
                <w:sz w:val="16"/>
              </w:rPr>
              <w:t>3/2053</w:t>
            </w:r>
          </w:p>
        </w:tc>
        <w:tc>
          <w:tcPr>
            <w:tcW w:type="dxa" w:w="864"/>
          </w:tcPr>
          <w:p>
            <w:pPr>
              <w:jc w:val="center"/>
            </w:pPr>
            <w:r>
              <w:rPr>
                <w:sz w:val="16"/>
              </w:rPr>
              <w:t>2/2053</w:t>
            </w:r>
          </w:p>
        </w:tc>
        <w:tc>
          <w:tcPr>
            <w:tcW w:type="dxa" w:w="864"/>
          </w:tcPr>
          <w:p>
            <w:pPr>
              <w:jc w:val="center"/>
            </w:pPr>
            <w:r>
              <w:rPr>
                <w:sz w:val="16"/>
              </w:rPr>
              <w:t>12324</w:t>
            </w:r>
          </w:p>
        </w:tc>
        <w:tc>
          <w:tcPr>
            <w:tcW w:type="dxa" w:w="864"/>
          </w:tcPr>
          <w:p>
            <w:pPr>
              <w:jc w:val="center"/>
            </w:pPr>
            <w:r>
              <w:rPr>
                <w:sz w:val="16"/>
              </w:rPr>
              <w:t>15300</w:t>
            </w:r>
          </w:p>
        </w:tc>
        <w:tc>
          <w:tcPr>
            <w:tcW w:type="dxa" w:w="864"/>
          </w:tcPr>
          <w:p>
            <w:pPr>
              <w:jc w:val="center"/>
            </w:pPr>
            <w:r>
              <w:rPr>
                <w:sz w:val="16"/>
              </w:rPr>
              <w:t>0.24</w:t>
            </w:r>
          </w:p>
        </w:tc>
        <w:tc>
          <w:tcPr>
            <w:tcW w:type="dxa" w:w="864"/>
          </w:tcPr>
          <w:p>
            <w:pPr>
              <w:jc w:val="center"/>
            </w:pPr>
            <w:r>
              <w:rPr>
                <w:sz w:val="16"/>
              </w:rPr>
              <w:t>0.13</w:t>
            </w:r>
          </w:p>
        </w:tc>
        <w:tc>
          <w:tcPr>
            <w:tcW w:type="dxa" w:w="864"/>
          </w:tcPr>
          <w:p>
            <w:pPr>
              <w:jc w:val="center"/>
            </w:pPr>
            <w:r>
              <w:rPr>
                <w:sz w:val="16"/>
              </w:rPr>
              <w:t>1.961 (0.309–12.445)</w:t>
            </w:r>
          </w:p>
        </w:tc>
        <w:tc>
          <w:tcPr>
            <w:tcW w:type="dxa" w:w="864"/>
          </w:tcPr>
          <w:p>
            <w:pPr>
              <w:jc w:val="center"/>
            </w:pPr>
            <w:r>
              <w:rPr>
                <w:sz w:val="16"/>
              </w:rPr>
              <w:t>0.475</w:t>
            </w:r>
          </w:p>
        </w:tc>
        <w:tc>
          <w:tcPr>
            <w:tcW w:type="dxa" w:w="864"/>
          </w:tcPr>
          <w:p>
            <w:pPr>
              <w:jc w:val="center"/>
            </w:pPr>
            <w:r>
              <w:rPr>
                <w:sz w:val="16"/>
              </w:rPr>
              <w:t>0.045</w:t>
            </w:r>
          </w:p>
        </w:tc>
      </w:tr>
      <w:tr>
        <w:tc>
          <w:tcPr>
            <w:tcW w:type="dxa" w:w="864"/>
          </w:tcPr>
          <w:p>
            <w:r>
              <w:rPr>
                <w:sz w:val="16"/>
              </w:rPr>
              <w:t>Angina/MI</w:t>
            </w:r>
          </w:p>
        </w:tc>
        <w:tc>
          <w:tcPr>
            <w:tcW w:type="dxa" w:w="864"/>
          </w:tcPr>
          <w:p>
            <w:pPr>
              <w:jc w:val="center"/>
            </w:pPr>
            <w:r>
              <w:rPr>
                <w:sz w:val="16"/>
              </w:rPr>
              <w:t>3/2053</w:t>
            </w:r>
          </w:p>
        </w:tc>
        <w:tc>
          <w:tcPr>
            <w:tcW w:type="dxa" w:w="864"/>
          </w:tcPr>
          <w:p>
            <w:pPr>
              <w:jc w:val="center"/>
            </w:pPr>
            <w:r>
              <w:rPr>
                <w:sz w:val="16"/>
              </w:rPr>
              <w:t>1/2053</w:t>
            </w:r>
          </w:p>
        </w:tc>
        <w:tc>
          <w:tcPr>
            <w:tcW w:type="dxa" w:w="864"/>
          </w:tcPr>
          <w:p>
            <w:pPr>
              <w:jc w:val="center"/>
            </w:pPr>
            <w:r>
              <w:rPr>
                <w:sz w:val="16"/>
              </w:rPr>
              <w:t>12324</w:t>
            </w:r>
          </w:p>
        </w:tc>
        <w:tc>
          <w:tcPr>
            <w:tcW w:type="dxa" w:w="864"/>
          </w:tcPr>
          <w:p>
            <w:pPr>
              <w:jc w:val="center"/>
            </w:pPr>
            <w:r>
              <w:rPr>
                <w:sz w:val="16"/>
              </w:rPr>
              <w:t>15302</w:t>
            </w:r>
          </w:p>
        </w:tc>
        <w:tc>
          <w:tcPr>
            <w:tcW w:type="dxa" w:w="864"/>
          </w:tcPr>
          <w:p>
            <w:pPr>
              <w:jc w:val="center"/>
            </w:pPr>
            <w:r>
              <w:rPr>
                <w:sz w:val="16"/>
              </w:rPr>
              <w:t>0.24</w:t>
            </w:r>
          </w:p>
        </w:tc>
        <w:tc>
          <w:tcPr>
            <w:tcW w:type="dxa" w:w="864"/>
          </w:tcPr>
          <w:p>
            <w:pPr>
              <w:jc w:val="center"/>
            </w:pPr>
            <w:r>
              <w:rPr>
                <w:sz w:val="16"/>
              </w:rPr>
              <w:t>0.07</w:t>
            </w:r>
          </w:p>
        </w:tc>
        <w:tc>
          <w:tcPr>
            <w:tcW w:type="dxa" w:w="864"/>
          </w:tcPr>
          <w:p>
            <w:pPr>
              <w:jc w:val="center"/>
            </w:pPr>
            <w:r>
              <w:rPr>
                <w:sz w:val="16"/>
              </w:rPr>
              <w:t>-</w:t>
            </w:r>
          </w:p>
        </w:tc>
        <w:tc>
          <w:tcPr>
            <w:tcW w:type="dxa" w:w="864"/>
          </w:tcPr>
          <w:p>
            <w:pPr>
              <w:jc w:val="center"/>
            </w:pPr>
            <w:r>
              <w:rPr>
                <w:sz w:val="16"/>
              </w:rPr>
              <w:t>-</w:t>
            </w:r>
          </w:p>
        </w:tc>
        <w:tc>
          <w:tcPr>
            <w:tcW w:type="dxa" w:w="864"/>
          </w:tcPr>
          <w:p>
            <w:pPr>
              <w:jc w:val="center"/>
            </w:pPr>
            <w:r>
              <w:rPr>
                <w:sz w:val="16"/>
              </w:rPr>
              <w:t>-</w:t>
            </w:r>
          </w:p>
        </w:tc>
      </w:tr>
      <w:tr>
        <w:tc>
          <w:tcPr>
            <w:tcW w:type="dxa" w:w="864"/>
          </w:tcPr>
          <w:p>
            <w:r>
              <w:rPr>
                <w:sz w:val="16"/>
              </w:rPr>
              <w:t>Hypertension</w:t>
            </w:r>
          </w:p>
        </w:tc>
        <w:tc>
          <w:tcPr>
            <w:tcW w:type="dxa" w:w="864"/>
          </w:tcPr>
          <w:p>
            <w:pPr>
              <w:jc w:val="center"/>
            </w:pPr>
            <w:r>
              <w:rPr>
                <w:sz w:val="16"/>
              </w:rPr>
              <w:t>8/2044</w:t>
            </w:r>
          </w:p>
        </w:tc>
        <w:tc>
          <w:tcPr>
            <w:tcW w:type="dxa" w:w="864"/>
          </w:tcPr>
          <w:p>
            <w:pPr>
              <w:jc w:val="center"/>
            </w:pPr>
            <w:r>
              <w:rPr>
                <w:sz w:val="16"/>
              </w:rPr>
              <w:t>7/2048</w:t>
            </w:r>
          </w:p>
        </w:tc>
        <w:tc>
          <w:tcPr>
            <w:tcW w:type="dxa" w:w="864"/>
          </w:tcPr>
          <w:p>
            <w:pPr>
              <w:jc w:val="center"/>
            </w:pPr>
            <w:r>
              <w:rPr>
                <w:sz w:val="16"/>
              </w:rPr>
              <w:t>12246</w:t>
            </w:r>
          </w:p>
        </w:tc>
        <w:tc>
          <w:tcPr>
            <w:tcW w:type="dxa" w:w="864"/>
          </w:tcPr>
          <w:p>
            <w:pPr>
              <w:jc w:val="center"/>
            </w:pPr>
            <w:r>
              <w:rPr>
                <w:sz w:val="16"/>
              </w:rPr>
              <w:t>15250</w:t>
            </w:r>
          </w:p>
        </w:tc>
        <w:tc>
          <w:tcPr>
            <w:tcW w:type="dxa" w:w="864"/>
          </w:tcPr>
          <w:p>
            <w:pPr>
              <w:jc w:val="center"/>
            </w:pPr>
            <w:r>
              <w:rPr>
                <w:sz w:val="16"/>
              </w:rPr>
              <w:t>0.65</w:t>
            </w:r>
          </w:p>
        </w:tc>
        <w:tc>
          <w:tcPr>
            <w:tcW w:type="dxa" w:w="864"/>
          </w:tcPr>
          <w:p>
            <w:pPr>
              <w:jc w:val="center"/>
            </w:pPr>
            <w:r>
              <w:rPr>
                <w:sz w:val="16"/>
              </w:rPr>
              <w:t>0.46</w:t>
            </w:r>
          </w:p>
        </w:tc>
        <w:tc>
          <w:tcPr>
            <w:tcW w:type="dxa" w:w="864"/>
          </w:tcPr>
          <w:p>
            <w:pPr>
              <w:jc w:val="center"/>
            </w:pPr>
            <w:r>
              <w:rPr>
                <w:sz w:val="16"/>
              </w:rPr>
              <w:t>1.489 (0.530–4.180)</w:t>
            </w:r>
          </w:p>
        </w:tc>
        <w:tc>
          <w:tcPr>
            <w:tcW w:type="dxa" w:w="864"/>
          </w:tcPr>
          <w:p>
            <w:pPr>
              <w:jc w:val="center"/>
            </w:pPr>
            <w:r>
              <w:rPr>
                <w:sz w:val="16"/>
              </w:rPr>
              <w:t>0.450</w:t>
            </w:r>
          </w:p>
        </w:tc>
        <w:tc>
          <w:tcPr>
            <w:tcW w:type="dxa" w:w="864"/>
          </w:tcPr>
          <w:p>
            <w:pPr>
              <w:jc w:val="center"/>
            </w:pPr>
            <w:r>
              <w:rPr>
                <w:sz w:val="16"/>
              </w:rPr>
              <w:t>0.383</w:t>
            </w:r>
          </w:p>
        </w:tc>
      </w:tr>
      <w:tr>
        <w:tc>
          <w:tcPr>
            <w:tcW w:type="dxa" w:w="864"/>
          </w:tcPr>
          <w:p>
            <w:r>
              <w:rPr>
                <w:sz w:val="16"/>
              </w:rPr>
              <w:t>Diabetes</w:t>
            </w:r>
          </w:p>
        </w:tc>
        <w:tc>
          <w:tcPr>
            <w:tcW w:type="dxa" w:w="864"/>
          </w:tcPr>
          <w:p>
            <w:pPr>
              <w:jc w:val="center"/>
            </w:pPr>
            <w:r>
              <w:rPr>
                <w:sz w:val="16"/>
              </w:rPr>
              <w:t>21/2039</w:t>
            </w:r>
          </w:p>
        </w:tc>
        <w:tc>
          <w:tcPr>
            <w:tcW w:type="dxa" w:w="864"/>
          </w:tcPr>
          <w:p>
            <w:pPr>
              <w:jc w:val="center"/>
            </w:pPr>
            <w:r>
              <w:rPr>
                <w:sz w:val="16"/>
              </w:rPr>
              <w:t>22/2043</w:t>
            </w:r>
          </w:p>
        </w:tc>
        <w:tc>
          <w:tcPr>
            <w:tcW w:type="dxa" w:w="864"/>
          </w:tcPr>
          <w:p>
            <w:pPr>
              <w:jc w:val="center"/>
            </w:pPr>
            <w:r>
              <w:rPr>
                <w:sz w:val="16"/>
              </w:rPr>
              <w:t>12201</w:t>
            </w:r>
          </w:p>
        </w:tc>
        <w:tc>
          <w:tcPr>
            <w:tcW w:type="dxa" w:w="864"/>
          </w:tcPr>
          <w:p>
            <w:pPr>
              <w:jc w:val="center"/>
            </w:pPr>
            <w:r>
              <w:rPr>
                <w:sz w:val="16"/>
              </w:rPr>
              <w:t>15174</w:t>
            </w:r>
          </w:p>
        </w:tc>
        <w:tc>
          <w:tcPr>
            <w:tcW w:type="dxa" w:w="864"/>
          </w:tcPr>
          <w:p>
            <w:pPr>
              <w:jc w:val="center"/>
            </w:pPr>
            <w:r>
              <w:rPr>
                <w:sz w:val="16"/>
              </w:rPr>
              <w:t>1.72</w:t>
            </w:r>
          </w:p>
        </w:tc>
        <w:tc>
          <w:tcPr>
            <w:tcW w:type="dxa" w:w="864"/>
          </w:tcPr>
          <w:p>
            <w:pPr>
              <w:jc w:val="center"/>
            </w:pPr>
            <w:r>
              <w:rPr>
                <w:sz w:val="16"/>
              </w:rPr>
              <w:t>1.45</w:t>
            </w:r>
          </w:p>
        </w:tc>
        <w:tc>
          <w:tcPr>
            <w:tcW w:type="dxa" w:w="864"/>
          </w:tcPr>
          <w:p>
            <w:pPr>
              <w:jc w:val="center"/>
            </w:pPr>
            <w:r>
              <w:rPr>
                <w:sz w:val="16"/>
              </w:rPr>
              <w:t>1.245 (0.680–2.281)</w:t>
            </w:r>
          </w:p>
        </w:tc>
        <w:tc>
          <w:tcPr>
            <w:tcW w:type="dxa" w:w="864"/>
          </w:tcPr>
          <w:p>
            <w:pPr>
              <w:jc w:val="center"/>
            </w:pPr>
            <w:r>
              <w:rPr>
                <w:sz w:val="16"/>
              </w:rPr>
              <w:t>0.477</w:t>
            </w:r>
          </w:p>
        </w:tc>
        <w:tc>
          <w:tcPr>
            <w:tcW w:type="dxa" w:w="864"/>
          </w:tcPr>
          <w:p>
            <w:pPr>
              <w:jc w:val="center"/>
            </w:pPr>
            <w:r>
              <w:rPr>
                <w:sz w:val="16"/>
              </w:rPr>
              <w:t>0.655</w:t>
            </w:r>
          </w:p>
        </w:tc>
      </w:tr>
      <w:tr>
        <w:tc>
          <w:tcPr>
            <w:tcW w:type="dxa" w:w="864"/>
          </w:tcPr>
          <w:p>
            <w:r>
              <w:rPr>
                <w:sz w:val="16"/>
              </w:rPr>
              <w:t>Stroke</w:t>
            </w:r>
          </w:p>
        </w:tc>
        <w:tc>
          <w:tcPr>
            <w:tcW w:type="dxa" w:w="864"/>
          </w:tcPr>
          <w:p>
            <w:pPr>
              <w:jc w:val="center"/>
            </w:pPr>
            <w:r>
              <w:rPr>
                <w:sz w:val="16"/>
              </w:rPr>
              <w:t>0/2053</w:t>
            </w:r>
          </w:p>
        </w:tc>
        <w:tc>
          <w:tcPr>
            <w:tcW w:type="dxa" w:w="864"/>
          </w:tcPr>
          <w:p>
            <w:pPr>
              <w:jc w:val="center"/>
            </w:pPr>
            <w:r>
              <w:rPr>
                <w:sz w:val="16"/>
              </w:rPr>
              <w:t>0/2053</w:t>
            </w:r>
          </w:p>
        </w:tc>
        <w:tc>
          <w:tcPr>
            <w:tcW w:type="dxa" w:w="864"/>
          </w:tcPr>
          <w:p>
            <w:pPr>
              <w:jc w:val="center"/>
            </w:pPr>
            <w:r>
              <w:rPr>
                <w:sz w:val="16"/>
              </w:rPr>
              <w:t>12341</w:t>
            </w:r>
          </w:p>
        </w:tc>
        <w:tc>
          <w:tcPr>
            <w:tcW w:type="dxa" w:w="864"/>
          </w:tcPr>
          <w:p>
            <w:pPr>
              <w:jc w:val="center"/>
            </w:pPr>
            <w:r>
              <w:rPr>
                <w:sz w:val="16"/>
              </w:rPr>
              <w:t>15306</w:t>
            </w:r>
          </w:p>
        </w:tc>
        <w:tc>
          <w:tcPr>
            <w:tcW w:type="dxa" w:w="864"/>
          </w:tcPr>
          <w:p>
            <w:pPr>
              <w:jc w:val="center"/>
            </w:pPr>
            <w:r>
              <w:rPr>
                <w:sz w:val="16"/>
              </w:rPr>
              <w:t>0.00</w:t>
            </w:r>
          </w:p>
        </w:tc>
        <w:tc>
          <w:tcPr>
            <w:tcW w:type="dxa" w:w="864"/>
          </w:tcPr>
          <w:p>
            <w:pPr>
              <w:jc w:val="center"/>
            </w:pPr>
            <w:r>
              <w:rPr>
                <w:sz w:val="16"/>
              </w:rPr>
              <w:t>0.00</w:t>
            </w:r>
          </w:p>
        </w:tc>
        <w:tc>
          <w:tcPr>
            <w:tcW w:type="dxa" w:w="864"/>
          </w:tcPr>
          <w:p>
            <w:pPr>
              <w:jc w:val="center"/>
            </w:pPr>
            <w:r>
              <w:rPr>
                <w:sz w:val="16"/>
              </w:rPr>
              <w:t>-</w:t>
            </w:r>
          </w:p>
        </w:tc>
        <w:tc>
          <w:tcPr>
            <w:tcW w:type="dxa" w:w="864"/>
          </w:tcPr>
          <w:p>
            <w:pPr>
              <w:jc w:val="center"/>
            </w:pPr>
            <w:r>
              <w:rPr>
                <w:sz w:val="16"/>
              </w:rPr>
              <w:t>-</w:t>
            </w:r>
          </w:p>
        </w:tc>
        <w:tc>
          <w:tcPr>
            <w:tcW w:type="dxa" w:w="864"/>
          </w:tcPr>
          <w:p>
            <w:pPr>
              <w:jc w:val="center"/>
            </w:pPr>
            <w:r>
              <w:rPr>
                <w:sz w:val="16"/>
              </w:rPr>
              <w:t>-</w:t>
            </w:r>
          </w:p>
        </w:tc>
      </w:tr>
      <w:tr>
        <w:tc>
          <w:tcPr>
            <w:tcW w:type="dxa" w:w="864"/>
          </w:tcPr>
          <w:p>
            <w:r>
              <w:rPr>
                <w:sz w:val="16"/>
              </w:rPr>
              <w:t>PE</w:t>
            </w:r>
          </w:p>
        </w:tc>
        <w:tc>
          <w:tcPr>
            <w:tcW w:type="dxa" w:w="864"/>
          </w:tcPr>
          <w:p>
            <w:pPr>
              <w:jc w:val="center"/>
            </w:pPr>
            <w:r>
              <w:rPr>
                <w:sz w:val="16"/>
              </w:rPr>
              <w:t>0/2053</w:t>
            </w:r>
          </w:p>
        </w:tc>
        <w:tc>
          <w:tcPr>
            <w:tcW w:type="dxa" w:w="864"/>
          </w:tcPr>
          <w:p>
            <w:pPr>
              <w:jc w:val="center"/>
            </w:pPr>
            <w:r>
              <w:rPr>
                <w:sz w:val="16"/>
              </w:rPr>
              <w:t>1/2053</w:t>
            </w:r>
          </w:p>
        </w:tc>
        <w:tc>
          <w:tcPr>
            <w:tcW w:type="dxa" w:w="864"/>
          </w:tcPr>
          <w:p>
            <w:pPr>
              <w:jc w:val="center"/>
            </w:pPr>
            <w:r>
              <w:rPr>
                <w:sz w:val="16"/>
              </w:rPr>
              <w:t>12341</w:t>
            </w:r>
          </w:p>
        </w:tc>
        <w:tc>
          <w:tcPr>
            <w:tcW w:type="dxa" w:w="864"/>
          </w:tcPr>
          <w:p>
            <w:pPr>
              <w:jc w:val="center"/>
            </w:pPr>
            <w:r>
              <w:rPr>
                <w:sz w:val="16"/>
              </w:rPr>
              <w:t>15304</w:t>
            </w:r>
          </w:p>
        </w:tc>
        <w:tc>
          <w:tcPr>
            <w:tcW w:type="dxa" w:w="864"/>
          </w:tcPr>
          <w:p>
            <w:pPr>
              <w:jc w:val="center"/>
            </w:pPr>
            <w:r>
              <w:rPr>
                <w:sz w:val="16"/>
              </w:rPr>
              <w:t>0.00</w:t>
            </w:r>
          </w:p>
        </w:tc>
        <w:tc>
          <w:tcPr>
            <w:tcW w:type="dxa" w:w="864"/>
          </w:tcPr>
          <w:p>
            <w:pPr>
              <w:jc w:val="center"/>
            </w:pPr>
            <w:r>
              <w:rPr>
                <w:sz w:val="16"/>
              </w:rPr>
              <w:t>0.07</w:t>
            </w:r>
          </w:p>
        </w:tc>
        <w:tc>
          <w:tcPr>
            <w:tcW w:type="dxa" w:w="864"/>
          </w:tcPr>
          <w:p>
            <w:pPr>
              <w:jc w:val="center"/>
            </w:pPr>
            <w:r>
              <w:rPr>
                <w:sz w:val="16"/>
              </w:rPr>
              <w:t>-</w:t>
            </w:r>
          </w:p>
        </w:tc>
        <w:tc>
          <w:tcPr>
            <w:tcW w:type="dxa" w:w="864"/>
          </w:tcPr>
          <w:p>
            <w:pPr>
              <w:jc w:val="center"/>
            </w:pPr>
            <w:r>
              <w:rPr>
                <w:sz w:val="16"/>
              </w:rPr>
              <w:t>-</w:t>
            </w:r>
          </w:p>
        </w:tc>
        <w:tc>
          <w:tcPr>
            <w:tcW w:type="dxa" w:w="864"/>
          </w:tcPr>
          <w:p>
            <w:pPr>
              <w:jc w:val="center"/>
            </w:pPr>
            <w:r>
              <w:rPr>
                <w:sz w:val="16"/>
              </w:rPr>
              <w:t>-</w:t>
            </w:r>
          </w:p>
        </w:tc>
      </w:tr>
    </w:tbl>
    <w:p>
      <w:r>
        <w:rPr>
          <w:sz w:val="16"/>
        </w:rPr>
        <w:t>Footnote: Cause-specific Cox models with cluster-robust standard errors using pair_id as the cluster variable. Person-years (PY) computed from index date to first event, death, or last follow-up. Incidence rates are events per 1,000 PY. PH global p is the Schoenfeld residual rank test p-value for the vaccinated covariate; values &gt;0.05 are consistent with the proportional hazards assumption.</w:t>
      </w:r>
    </w:p>
    <w:p>
      <w:pPr>
        <w:pStyle w:val="Heading1"/>
      </w:pPr>
      <w:r>
        <w:t>Table R2. Cohort B — Cluster-robust HRs with person-time, Bonferroni-adjusted p, and PH check</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pPr>
              <w:jc w:val="center"/>
            </w:pPr>
            <w:r>
              <w:rPr>
                <w:b/>
                <w:sz w:val="16"/>
              </w:rPr>
              <w:t>Outcome</w:t>
            </w:r>
          </w:p>
        </w:tc>
        <w:tc>
          <w:tcPr>
            <w:tcW w:type="dxa" w:w="864"/>
          </w:tcPr>
          <w:p>
            <w:pPr>
              <w:jc w:val="center"/>
            </w:pPr>
            <w:r>
              <w:rPr>
                <w:b/>
                <w:sz w:val="16"/>
              </w:rPr>
              <w:t>Vac events/n</w:t>
            </w:r>
          </w:p>
        </w:tc>
        <w:tc>
          <w:tcPr>
            <w:tcW w:type="dxa" w:w="864"/>
          </w:tcPr>
          <w:p>
            <w:pPr>
              <w:jc w:val="center"/>
            </w:pPr>
            <w:r>
              <w:rPr>
                <w:b/>
                <w:sz w:val="16"/>
              </w:rPr>
              <w:t>Ctl events/n</w:t>
            </w:r>
          </w:p>
        </w:tc>
        <w:tc>
          <w:tcPr>
            <w:tcW w:type="dxa" w:w="864"/>
          </w:tcPr>
          <w:p>
            <w:pPr>
              <w:jc w:val="center"/>
            </w:pPr>
            <w:r>
              <w:rPr>
                <w:b/>
                <w:sz w:val="16"/>
              </w:rPr>
              <w:t>PY vac</w:t>
            </w:r>
          </w:p>
        </w:tc>
        <w:tc>
          <w:tcPr>
            <w:tcW w:type="dxa" w:w="864"/>
          </w:tcPr>
          <w:p>
            <w:pPr>
              <w:jc w:val="center"/>
            </w:pPr>
            <w:r>
              <w:rPr>
                <w:b/>
                <w:sz w:val="16"/>
              </w:rPr>
              <w:t>PY ctl</w:t>
            </w:r>
          </w:p>
        </w:tc>
        <w:tc>
          <w:tcPr>
            <w:tcW w:type="dxa" w:w="864"/>
          </w:tcPr>
          <w:p>
            <w:pPr>
              <w:jc w:val="center"/>
            </w:pPr>
            <w:r>
              <w:rPr>
                <w:b/>
                <w:sz w:val="16"/>
              </w:rPr>
              <w:t>IR vac /1000PY</w:t>
            </w:r>
          </w:p>
        </w:tc>
        <w:tc>
          <w:tcPr>
            <w:tcW w:type="dxa" w:w="864"/>
          </w:tcPr>
          <w:p>
            <w:pPr>
              <w:jc w:val="center"/>
            </w:pPr>
            <w:r>
              <w:rPr>
                <w:b/>
                <w:sz w:val="16"/>
              </w:rPr>
              <w:t>IR ctl /1000PY</w:t>
            </w:r>
          </w:p>
        </w:tc>
        <w:tc>
          <w:tcPr>
            <w:tcW w:type="dxa" w:w="864"/>
          </w:tcPr>
          <w:p>
            <w:pPr>
              <w:jc w:val="center"/>
            </w:pPr>
            <w:r>
              <w:rPr>
                <w:b/>
                <w:sz w:val="16"/>
              </w:rPr>
              <w:t>HR (95% CI, cluster-robust)</w:t>
            </w:r>
          </w:p>
        </w:tc>
        <w:tc>
          <w:tcPr>
            <w:tcW w:type="dxa" w:w="864"/>
          </w:tcPr>
          <w:p>
            <w:pPr>
              <w:jc w:val="center"/>
            </w:pPr>
            <w:r>
              <w:rPr>
                <w:b/>
                <w:sz w:val="16"/>
              </w:rPr>
              <w:t>p (raw / Bonferroni k=2)</w:t>
            </w:r>
          </w:p>
        </w:tc>
        <w:tc>
          <w:tcPr>
            <w:tcW w:type="dxa" w:w="864"/>
          </w:tcPr>
          <w:p>
            <w:pPr>
              <w:jc w:val="center"/>
            </w:pPr>
            <w:r>
              <w:rPr>
                <w:b/>
                <w:sz w:val="16"/>
              </w:rPr>
              <w:t>PH p (vac, age)</w:t>
            </w:r>
          </w:p>
        </w:tc>
      </w:tr>
      <w:tr>
        <w:tc>
          <w:tcPr>
            <w:tcW w:type="dxa" w:w="864"/>
          </w:tcPr>
          <w:p>
            <w:r>
              <w:rPr>
                <w:sz w:val="16"/>
              </w:rPr>
              <w:t>Lesion recurrence</w:t>
            </w:r>
          </w:p>
        </w:tc>
        <w:tc>
          <w:tcPr>
            <w:tcW w:type="dxa" w:w="864"/>
          </w:tcPr>
          <w:p>
            <w:pPr>
              <w:jc w:val="center"/>
            </w:pPr>
            <w:r>
              <w:rPr>
                <w:sz w:val="16"/>
              </w:rPr>
              <w:t>13/241</w:t>
            </w:r>
          </w:p>
        </w:tc>
        <w:tc>
          <w:tcPr>
            <w:tcW w:type="dxa" w:w="864"/>
          </w:tcPr>
          <w:p>
            <w:pPr>
              <w:jc w:val="center"/>
            </w:pPr>
            <w:r>
              <w:rPr>
                <w:sz w:val="16"/>
              </w:rPr>
              <w:t>57/867</w:t>
            </w:r>
          </w:p>
        </w:tc>
        <w:tc>
          <w:tcPr>
            <w:tcW w:type="dxa" w:w="864"/>
          </w:tcPr>
          <w:p>
            <w:pPr>
              <w:jc w:val="center"/>
            </w:pPr>
            <w:r>
              <w:rPr>
                <w:sz w:val="16"/>
              </w:rPr>
              <w:t>1474</w:t>
            </w:r>
          </w:p>
        </w:tc>
        <w:tc>
          <w:tcPr>
            <w:tcW w:type="dxa" w:w="864"/>
          </w:tcPr>
          <w:p>
            <w:pPr>
              <w:jc w:val="center"/>
            </w:pPr>
            <w:r>
              <w:rPr>
                <w:sz w:val="16"/>
              </w:rPr>
              <w:t>5308</w:t>
            </w:r>
          </w:p>
        </w:tc>
        <w:tc>
          <w:tcPr>
            <w:tcW w:type="dxa" w:w="864"/>
          </w:tcPr>
          <w:p>
            <w:pPr>
              <w:jc w:val="center"/>
            </w:pPr>
            <w:r>
              <w:rPr>
                <w:sz w:val="16"/>
              </w:rPr>
              <w:t>8.82</w:t>
            </w:r>
          </w:p>
        </w:tc>
        <w:tc>
          <w:tcPr>
            <w:tcW w:type="dxa" w:w="864"/>
          </w:tcPr>
          <w:p>
            <w:pPr>
              <w:jc w:val="center"/>
            </w:pPr>
            <w:r>
              <w:rPr>
                <w:sz w:val="16"/>
              </w:rPr>
              <w:t>10.74</w:t>
            </w:r>
          </w:p>
        </w:tc>
        <w:tc>
          <w:tcPr>
            <w:tcW w:type="dxa" w:w="864"/>
          </w:tcPr>
          <w:p>
            <w:pPr>
              <w:jc w:val="center"/>
            </w:pPr>
            <w:r>
              <w:rPr>
                <w:sz w:val="16"/>
              </w:rPr>
              <w:t>0.760 (0.433–1.332)</w:t>
              <w:br/>
              <w:t>[97.5% CI: 0.400–1.444]</w:t>
            </w:r>
          </w:p>
        </w:tc>
        <w:tc>
          <w:tcPr>
            <w:tcW w:type="dxa" w:w="864"/>
          </w:tcPr>
          <w:p>
            <w:pPr>
              <w:jc w:val="center"/>
            </w:pPr>
            <w:r>
              <w:rPr>
                <w:sz w:val="16"/>
              </w:rPr>
              <w:t>0.337 / 0.674</w:t>
            </w:r>
          </w:p>
        </w:tc>
        <w:tc>
          <w:tcPr>
            <w:tcW w:type="dxa" w:w="864"/>
          </w:tcPr>
          <w:p>
            <w:pPr>
              <w:jc w:val="center"/>
            </w:pPr>
            <w:r>
              <w:rPr>
                <w:sz w:val="16"/>
              </w:rPr>
              <w:t>vac: 0.589, age: 0.985</w:t>
            </w:r>
          </w:p>
        </w:tc>
      </w:tr>
      <w:tr>
        <w:tc>
          <w:tcPr>
            <w:tcW w:type="dxa" w:w="864"/>
          </w:tcPr>
          <w:p>
            <w:r>
              <w:rPr>
                <w:sz w:val="16"/>
              </w:rPr>
              <w:t>HPV reinfection</w:t>
            </w:r>
          </w:p>
        </w:tc>
        <w:tc>
          <w:tcPr>
            <w:tcW w:type="dxa" w:w="864"/>
          </w:tcPr>
          <w:p>
            <w:pPr>
              <w:jc w:val="center"/>
            </w:pPr>
            <w:r>
              <w:rPr>
                <w:sz w:val="16"/>
              </w:rPr>
              <w:t>149/241</w:t>
            </w:r>
          </w:p>
        </w:tc>
        <w:tc>
          <w:tcPr>
            <w:tcW w:type="dxa" w:w="864"/>
          </w:tcPr>
          <w:p>
            <w:pPr>
              <w:jc w:val="center"/>
            </w:pPr>
            <w:r>
              <w:rPr>
                <w:sz w:val="16"/>
              </w:rPr>
              <w:t>546/867</w:t>
            </w:r>
          </w:p>
        </w:tc>
        <w:tc>
          <w:tcPr>
            <w:tcW w:type="dxa" w:w="864"/>
          </w:tcPr>
          <w:p>
            <w:pPr>
              <w:jc w:val="center"/>
            </w:pPr>
            <w:r>
              <w:rPr>
                <w:sz w:val="16"/>
              </w:rPr>
              <w:t>1474</w:t>
            </w:r>
          </w:p>
        </w:tc>
        <w:tc>
          <w:tcPr>
            <w:tcW w:type="dxa" w:w="864"/>
          </w:tcPr>
          <w:p>
            <w:pPr>
              <w:jc w:val="center"/>
            </w:pPr>
            <w:r>
              <w:rPr>
                <w:sz w:val="16"/>
              </w:rPr>
              <w:t>5308</w:t>
            </w:r>
          </w:p>
        </w:tc>
        <w:tc>
          <w:tcPr>
            <w:tcW w:type="dxa" w:w="864"/>
          </w:tcPr>
          <w:p>
            <w:pPr>
              <w:jc w:val="center"/>
            </w:pPr>
            <w:r>
              <w:rPr>
                <w:sz w:val="16"/>
              </w:rPr>
              <w:t>101.08</w:t>
            </w:r>
          </w:p>
        </w:tc>
        <w:tc>
          <w:tcPr>
            <w:tcW w:type="dxa" w:w="864"/>
          </w:tcPr>
          <w:p>
            <w:pPr>
              <w:jc w:val="center"/>
            </w:pPr>
            <w:r>
              <w:rPr>
                <w:sz w:val="16"/>
              </w:rPr>
              <w:t>102.86</w:t>
            </w:r>
          </w:p>
        </w:tc>
        <w:tc>
          <w:tcPr>
            <w:tcW w:type="dxa" w:w="864"/>
          </w:tcPr>
          <w:p>
            <w:pPr>
              <w:jc w:val="center"/>
            </w:pPr>
            <w:r>
              <w:rPr>
                <w:sz w:val="16"/>
              </w:rPr>
              <w:t>0.971 (0.829–1.137)</w:t>
              <w:br/>
              <w:t>[97.5% CI: 0.810–1.163]</w:t>
            </w:r>
          </w:p>
        </w:tc>
        <w:tc>
          <w:tcPr>
            <w:tcW w:type="dxa" w:w="864"/>
          </w:tcPr>
          <w:p>
            <w:pPr>
              <w:jc w:val="center"/>
            </w:pPr>
            <w:r>
              <w:rPr>
                <w:sz w:val="16"/>
              </w:rPr>
              <w:t>0.712 / 1.000</w:t>
            </w:r>
          </w:p>
        </w:tc>
        <w:tc>
          <w:tcPr>
            <w:tcW w:type="dxa" w:w="864"/>
          </w:tcPr>
          <w:p>
            <w:pPr>
              <w:jc w:val="center"/>
            </w:pPr>
            <w:r>
              <w:rPr>
                <w:sz w:val="16"/>
              </w:rPr>
              <w:t>vac: 0.123, age: 0.992</w:t>
            </w:r>
          </w:p>
        </w:tc>
      </w:tr>
    </w:tbl>
    <w:p>
      <w:r>
        <w:rPr>
          <w:sz w:val="16"/>
        </w:rPr>
        <w:t>Footnote: Age-adjusted Cox proportional-hazards models with cluster-robust standard errors using fine_match_id as the cluster variable. Bonferroni-adjusted p values are the raw p values multiplied by the number of primary outcomes (k=2), capped at 1.0. 97.5% CIs are presented to align with the family-wise error rate of 0.05 across the two primary outcomes. PH p columns show Schoenfeld residual test p values for the vaccinated and age covariates; values &gt;0.05 are consistent with proportional hazards.</w:t>
      </w:r>
    </w:p>
    <w:p>
      <w:pPr>
        <w:pStyle w:val="Heading1"/>
      </w:pPr>
      <w:r>
        <w:t>Table R3. Cohort B — Vaccine-type × vaccination interaction (single-model formulation)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b/>
                <w:sz w:val="18"/>
              </w:rPr>
              <w:t>Outcome / vaccine type</w:t>
            </w:r>
          </w:p>
        </w:tc>
        <w:tc>
          <w:tcPr>
            <w:tcW w:type="dxa" w:w="2160"/>
          </w:tcPr>
          <w:p>
            <w:pPr>
              <w:jc w:val="center"/>
            </w:pPr>
            <w:r>
              <w:rPr>
                <w:b/>
                <w:sz w:val="18"/>
              </w:rPr>
              <w:t>HR (95% CI)</w:t>
            </w:r>
          </w:p>
        </w:tc>
        <w:tc>
          <w:tcPr>
            <w:tcW w:type="dxa" w:w="2160"/>
          </w:tcPr>
          <w:p>
            <w:pPr>
              <w:jc w:val="center"/>
            </w:pPr>
            <w:r>
              <w:rPr>
                <w:b/>
                <w:sz w:val="18"/>
              </w:rPr>
              <w:t>LRT for interaction</w:t>
            </w:r>
          </w:p>
        </w:tc>
        <w:tc>
          <w:tcPr>
            <w:tcW w:type="dxa" w:w="2160"/>
          </w:tcPr>
          <w:p>
            <w:pPr>
              <w:jc w:val="center"/>
            </w:pPr>
            <w:r>
              <w:rPr>
                <w:b/>
                <w:sz w:val="18"/>
              </w:rPr>
              <w:t>Interaction p</w:t>
            </w:r>
          </w:p>
        </w:tc>
      </w:tr>
      <w:tr>
        <w:tc>
          <w:tcPr>
            <w:tcW w:type="dxa" w:w="2160"/>
          </w:tcPr>
          <w:p>
            <w:r>
              <w:rPr>
                <w:sz w:val="18"/>
              </w:rPr>
              <w:t>Lesion recurrence: Gardasil 9</w:t>
            </w:r>
          </w:p>
        </w:tc>
        <w:tc>
          <w:tcPr>
            <w:tcW w:type="dxa" w:w="2160"/>
          </w:tcPr>
          <w:p>
            <w:pPr>
              <w:jc w:val="center"/>
            </w:pPr>
            <w:r>
              <w:rPr>
                <w:sz w:val="18"/>
              </w:rPr>
              <w:t>0.760 (0.293–1.972)</w:t>
            </w:r>
          </w:p>
        </w:tc>
        <w:tc>
          <w:tcPr>
            <w:tcW w:type="dxa" w:w="2160"/>
          </w:tcPr>
          <w:p>
            <w:pPr>
              <w:jc w:val="center"/>
            </w:pPr>
            <w:r>
              <w:rPr>
                <w:sz w:val="18"/>
              </w:rPr>
              <w:t>χ²=0.27, df=2</w:t>
            </w:r>
          </w:p>
        </w:tc>
        <w:tc>
          <w:tcPr>
            <w:tcW w:type="dxa" w:w="2160"/>
          </w:tcPr>
          <w:p>
            <w:pPr>
              <w:jc w:val="center"/>
            </w:pPr>
            <w:r>
              <w:rPr>
                <w:sz w:val="18"/>
              </w:rPr>
              <w:t>0.875</w:t>
            </w:r>
          </w:p>
        </w:tc>
      </w:tr>
      <w:tr>
        <w:tc>
          <w:tcPr>
            <w:tcW w:type="dxa" w:w="2160"/>
          </w:tcPr>
          <w:p>
            <w:r>
              <w:rPr>
                <w:sz w:val="18"/>
              </w:rPr>
              <w:t>Lesion recurrence: Cervarix</w:t>
            </w:r>
          </w:p>
        </w:tc>
        <w:tc>
          <w:tcPr>
            <w:tcW w:type="dxa" w:w="2160"/>
          </w:tcPr>
          <w:p>
            <w:pPr>
              <w:jc w:val="center"/>
            </w:pPr>
            <w:r>
              <w:rPr>
                <w:sz w:val="18"/>
              </w:rPr>
              <w:t>0.966 (0.384–2.428)</w:t>
            </w:r>
          </w:p>
        </w:tc>
        <w:tc>
          <w:tcPr>
            <w:tcW w:type="dxa" w:w="2160"/>
          </w:tcPr>
          <w:p>
            <w:pPr>
              <w:jc w:val="center"/>
            </w:pPr>
            <w:r>
              <w:rPr>
                <w:sz w:val="18"/>
              </w:rPr>
            </w:r>
          </w:p>
        </w:tc>
        <w:tc>
          <w:tcPr>
            <w:tcW w:type="dxa" w:w="2160"/>
          </w:tcPr>
          <w:p>
            <w:pPr>
              <w:jc w:val="center"/>
            </w:pPr>
            <w:r>
              <w:rPr>
                <w:sz w:val="18"/>
              </w:rPr>
            </w:r>
          </w:p>
        </w:tc>
      </w:tr>
      <w:tr>
        <w:tc>
          <w:tcPr>
            <w:tcW w:type="dxa" w:w="2160"/>
          </w:tcPr>
          <w:p>
            <w:r>
              <w:rPr>
                <w:sz w:val="18"/>
              </w:rPr>
              <w:t>Lesion recurrence: Gardasil</w:t>
            </w:r>
          </w:p>
        </w:tc>
        <w:tc>
          <w:tcPr>
            <w:tcW w:type="dxa" w:w="2160"/>
          </w:tcPr>
          <w:p>
            <w:pPr>
              <w:jc w:val="center"/>
            </w:pPr>
            <w:r>
              <w:rPr>
                <w:sz w:val="18"/>
              </w:rPr>
              <w:t>0.628 (0.137–2.875)</w:t>
            </w:r>
          </w:p>
        </w:tc>
        <w:tc>
          <w:tcPr>
            <w:tcW w:type="dxa" w:w="2160"/>
          </w:tcPr>
          <w:p>
            <w:pPr>
              <w:jc w:val="center"/>
            </w:pPr>
            <w:r>
              <w:rPr>
                <w:sz w:val="18"/>
              </w:rPr>
            </w:r>
          </w:p>
        </w:tc>
        <w:tc>
          <w:tcPr>
            <w:tcW w:type="dxa" w:w="2160"/>
          </w:tcPr>
          <w:p>
            <w:pPr>
              <w:jc w:val="center"/>
            </w:pPr>
            <w:r>
              <w:rPr>
                <w:sz w:val="18"/>
              </w:rPr>
            </w:r>
          </w:p>
        </w:tc>
      </w:tr>
      <w:tr>
        <w:tc>
          <w:tcPr>
            <w:tcW w:type="dxa" w:w="2160"/>
          </w:tcPr>
          <w:p>
            <w:r>
              <w:rPr>
                <w:sz w:val="18"/>
              </w:rPr>
              <w:t>HPV reinfection: Gardasil 9</w:t>
            </w:r>
          </w:p>
        </w:tc>
        <w:tc>
          <w:tcPr>
            <w:tcW w:type="dxa" w:w="2160"/>
          </w:tcPr>
          <w:p>
            <w:pPr>
              <w:jc w:val="center"/>
            </w:pPr>
            <w:r>
              <w:rPr>
                <w:sz w:val="18"/>
              </w:rPr>
              <w:t>1.095 (0.901–1.331)</w:t>
            </w:r>
          </w:p>
        </w:tc>
        <w:tc>
          <w:tcPr>
            <w:tcW w:type="dxa" w:w="2160"/>
          </w:tcPr>
          <w:p>
            <w:pPr>
              <w:jc w:val="center"/>
            </w:pPr>
            <w:r>
              <w:rPr>
                <w:sz w:val="18"/>
              </w:rPr>
              <w:t>χ²=6.60, df=2</w:t>
            </w:r>
          </w:p>
        </w:tc>
        <w:tc>
          <w:tcPr>
            <w:tcW w:type="dxa" w:w="2160"/>
          </w:tcPr>
          <w:p>
            <w:pPr>
              <w:jc w:val="center"/>
            </w:pPr>
            <w:r>
              <w:rPr>
                <w:sz w:val="18"/>
              </w:rPr>
              <w:t>0.037</w:t>
            </w:r>
          </w:p>
        </w:tc>
      </w:tr>
    </w:tbl>
    <w:p>
      <w:r>
        <w:rPr>
          <w:sz w:val="16"/>
        </w:rPr>
        <w:t>Footnote: Single Cox model with vaccine-type main effects, vaccination, and vaccine-type × vaccination interaction terms. The likelihood-ratio test (LRT) compares this full interaction model with a reduced model in which vaccination has a common HR across vaccine types. Type-specific HRs are computed by combining the main effect of vaccination with the relevant interaction coefficient; Gardasil 9 is the reference category. This single-model formulation avoids reusing non-vaccinated controls across pairwise vaccine subgroups.</w:t>
      </w:r>
    </w:p>
    <w:p>
      <w:pPr>
        <w:pStyle w:val="Heading1"/>
      </w:pPr>
      <w:r>
        <w:t>Table R4. Cohort A — Pseudo-index assignment sensitivity (Any-of-5 endpoint)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Strategy</w:t>
            </w:r>
          </w:p>
        </w:tc>
        <w:tc>
          <w:tcPr>
            <w:tcW w:type="dxa" w:w="1728"/>
          </w:tcPr>
          <w:p>
            <w:pPr>
              <w:jc w:val="center"/>
            </w:pPr>
            <w:r>
              <w:rPr>
                <w:b/>
                <w:sz w:val="18"/>
              </w:rPr>
              <w:t>Vac events/n</w:t>
            </w:r>
          </w:p>
        </w:tc>
        <w:tc>
          <w:tcPr>
            <w:tcW w:type="dxa" w:w="1728"/>
          </w:tcPr>
          <w:p>
            <w:pPr>
              <w:jc w:val="center"/>
            </w:pPr>
            <w:r>
              <w:rPr>
                <w:b/>
                <w:sz w:val="18"/>
              </w:rPr>
              <w:t>Ctl events/n</w:t>
            </w:r>
          </w:p>
        </w:tc>
        <w:tc>
          <w:tcPr>
            <w:tcW w:type="dxa" w:w="1728"/>
          </w:tcPr>
          <w:p>
            <w:pPr>
              <w:jc w:val="center"/>
            </w:pPr>
            <w:r>
              <w:rPr>
                <w:b/>
                <w:sz w:val="18"/>
              </w:rPr>
              <w:t>HR (95% CI)</w:t>
            </w:r>
          </w:p>
        </w:tc>
        <w:tc>
          <w:tcPr>
            <w:tcW w:type="dxa" w:w="1728"/>
          </w:tcPr>
          <w:p>
            <w:pPr>
              <w:jc w:val="center"/>
            </w:pPr>
            <w:r>
              <w:rPr>
                <w:b/>
                <w:sz w:val="18"/>
              </w:rPr>
              <w:t>p</w:t>
            </w:r>
          </w:p>
        </w:tc>
      </w:tr>
      <w:tr>
        <w:tc>
          <w:tcPr>
            <w:tcW w:type="dxa" w:w="1728"/>
          </w:tcPr>
          <w:p>
            <w:r>
              <w:rPr>
                <w:sz w:val="18"/>
              </w:rPr>
              <w:t>Random sample (primary)</w:t>
            </w:r>
          </w:p>
        </w:tc>
        <w:tc>
          <w:tcPr>
            <w:tcW w:type="dxa" w:w="1728"/>
          </w:tcPr>
          <w:p>
            <w:pPr>
              <w:jc w:val="center"/>
            </w:pPr>
            <w:r>
              <w:rPr>
                <w:sz w:val="18"/>
              </w:rPr>
              <w:t>29/2030</w:t>
            </w:r>
          </w:p>
        </w:tc>
        <w:tc>
          <w:tcPr>
            <w:tcW w:type="dxa" w:w="1728"/>
          </w:tcPr>
          <w:p>
            <w:pPr>
              <w:jc w:val="center"/>
            </w:pPr>
            <w:r>
              <w:rPr>
                <w:sz w:val="18"/>
              </w:rPr>
              <w:t>30/2038</w:t>
            </w:r>
          </w:p>
        </w:tc>
        <w:tc>
          <w:tcPr>
            <w:tcW w:type="dxa" w:w="1728"/>
          </w:tcPr>
          <w:p>
            <w:pPr>
              <w:jc w:val="center"/>
            </w:pPr>
            <w:r>
              <w:rPr>
                <w:sz w:val="18"/>
              </w:rPr>
              <w:t>1.263 (0.752–2.121)</w:t>
            </w:r>
          </w:p>
        </w:tc>
        <w:tc>
          <w:tcPr>
            <w:tcW w:type="dxa" w:w="1728"/>
          </w:tcPr>
          <w:p>
            <w:pPr>
              <w:jc w:val="center"/>
            </w:pPr>
            <w:r>
              <w:rPr>
                <w:sz w:val="18"/>
              </w:rPr>
              <w:t>0.377</w:t>
            </w:r>
          </w:p>
        </w:tc>
      </w:tr>
      <w:tr>
        <w:tc>
          <w:tcPr>
            <w:tcW w:type="dxa" w:w="1728"/>
          </w:tcPr>
          <w:p>
            <w:r>
              <w:rPr>
                <w:sz w:val="18"/>
              </w:rPr>
              <w:t>Time-matched (calendar year)</w:t>
            </w:r>
          </w:p>
        </w:tc>
        <w:tc>
          <w:tcPr>
            <w:tcW w:type="dxa" w:w="1728"/>
          </w:tcPr>
          <w:p>
            <w:pPr>
              <w:jc w:val="center"/>
            </w:pPr>
            <w:r>
              <w:rPr>
                <w:sz w:val="18"/>
              </w:rPr>
              <w:t>30/2054</w:t>
            </w:r>
          </w:p>
        </w:tc>
        <w:tc>
          <w:tcPr>
            <w:tcW w:type="dxa" w:w="1728"/>
          </w:tcPr>
          <w:p>
            <w:pPr>
              <w:jc w:val="center"/>
            </w:pPr>
            <w:r>
              <w:rPr>
                <w:sz w:val="18"/>
              </w:rPr>
              <w:t>27/2064</w:t>
            </w:r>
          </w:p>
        </w:tc>
        <w:tc>
          <w:tcPr>
            <w:tcW w:type="dxa" w:w="1728"/>
          </w:tcPr>
          <w:p>
            <w:pPr>
              <w:jc w:val="center"/>
            </w:pPr>
            <w:r>
              <w:rPr>
                <w:sz w:val="18"/>
              </w:rPr>
              <w:t>1.268 (0.748–2.150)</w:t>
            </w:r>
          </w:p>
        </w:tc>
        <w:tc>
          <w:tcPr>
            <w:tcW w:type="dxa" w:w="1728"/>
          </w:tcPr>
          <w:p>
            <w:pPr>
              <w:jc w:val="center"/>
            </w:pPr>
            <w:r>
              <w:rPr>
                <w:sz w:val="18"/>
              </w:rPr>
              <w:t>0.378</w:t>
            </w:r>
          </w:p>
        </w:tc>
      </w:tr>
      <w:tr>
        <w:tc>
          <w:tcPr>
            <w:tcW w:type="dxa" w:w="1728"/>
          </w:tcPr>
          <w:p>
            <w:r>
              <w:rPr>
                <w:sz w:val="18"/>
              </w:rPr>
              <w:t>Risk-set sampling</w:t>
            </w:r>
          </w:p>
        </w:tc>
        <w:tc>
          <w:tcPr>
            <w:tcW w:type="dxa" w:w="1728"/>
          </w:tcPr>
          <w:p>
            <w:pPr>
              <w:jc w:val="center"/>
            </w:pPr>
            <w:r>
              <w:rPr>
                <w:sz w:val="18"/>
              </w:rPr>
              <w:t>13/1096</w:t>
            </w:r>
          </w:p>
        </w:tc>
        <w:tc>
          <w:tcPr>
            <w:tcW w:type="dxa" w:w="1728"/>
          </w:tcPr>
          <w:p>
            <w:pPr>
              <w:jc w:val="center"/>
            </w:pPr>
            <w:r>
              <w:rPr>
                <w:sz w:val="18"/>
              </w:rPr>
              <w:t>13/1102</w:t>
            </w:r>
          </w:p>
        </w:tc>
        <w:tc>
          <w:tcPr>
            <w:tcW w:type="dxa" w:w="1728"/>
          </w:tcPr>
          <w:p>
            <w:pPr>
              <w:jc w:val="center"/>
            </w:pPr>
            <w:r>
              <w:rPr>
                <w:sz w:val="18"/>
              </w:rPr>
              <w:t>1.214 (0.555–2.659)</w:t>
            </w:r>
          </w:p>
        </w:tc>
        <w:tc>
          <w:tcPr>
            <w:tcW w:type="dxa" w:w="1728"/>
          </w:tcPr>
          <w:p>
            <w:pPr>
              <w:jc w:val="center"/>
            </w:pPr>
            <w:r>
              <w:rPr>
                <w:sz w:val="18"/>
              </w:rPr>
              <w:t>0.627</w:t>
            </w:r>
          </w:p>
        </w:tc>
      </w:tr>
    </w:tbl>
    <w:p>
      <w:r>
        <w:rPr>
          <w:sz w:val="16"/>
        </w:rPr>
        <w:t>Footnote: Three pseudo-index assignment strategies for the unvaccinated group. (a) Random sample (primary): each control is assigned a randomly drawn vaccination date from the empirical distribution of vaccinated patients' first-vaccine dates. (b) Time-matched: each control is assigned a vaccination date sampled from vaccinated patients whose vaccine year is on or before the control's last-follow-up year, ensuring temporal feasibility. (c) Risk-set sampling: each vaccinated patient's actual vaccination date is offered to a control who was alive and observable at that date; controls without a feasible match are dropped. Concordance of the hazard ratios across the three strategies indicates the primary findings are not artefacts of the chosen pseudo-index assignment.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