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 S2. Propensity score model coefficients (Cohort A)</w:t>
      </w:r>
    </w:p>
    <w:p>
      <w:r>
        <w:rPr>
          <w:i/>
        </w:rPr>
        <w:t xml:space="preserve">Logistic regression of HPV vaccination receipt (outcome: 1 = vaccinated). </w:t>
      </w:r>
      <w:r>
        <w:rPr>
          <w:i/>
        </w:rPr>
        <w:t>Intercept (untransformed): 2.7584.   Pseudo R² ≈ 0.075.   Caliper used = 0.2 × SD(logit PS) = 0.2610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Covariate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Vac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Non-vac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β (orig.)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Std. 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Odds ratio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age_at_index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33.509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46.300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-0.0781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-1.1427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0.925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bmi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22.713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23.179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-0.0218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-0.0867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0.978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bmi_miss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0.595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1.047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sbp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115.948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118.718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-0.0066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-0.0481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0.993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sbp_miss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0.534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-0.7555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-0.2943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0.470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dbp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72.216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73.710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-0.0005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-0.0031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dbp_miss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0.534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-0.7906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-0.3078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0.454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is_seoul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0.344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0.288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1.029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smoke_Never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0.317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0.6398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0.2599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1.896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smoke_Former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0.4427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1.557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smoke_Current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0.5130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1.670</w:t>
            </w:r>
          </w:p>
        </w:tc>
      </w:tr>
    </w:tbl>
    <w:p>
      <w:r>
        <w:rPr>
          <w:b/>
        </w:rPr>
        <w:t xml:space="preserve">Footnote: </w:t>
      </w:r>
      <w:r>
        <w:rPr>
          <w:sz w:val="16"/>
        </w:rPr>
        <w:t>β is the coefficient on the original (unscaled) variable; standardized β is the coefficient after Z-scaling each continuous predictor (and is directly comparable across variables). Missing-value indicators (bmi_miss, sbp_miss, dbp_miss) flag patients without a measurement within ±365 days of index; these covariates were imputed with the cohort mean before model fitting. Smoking is encoded with three dummy variables (Never, Former, Current); the reference category is Unknown.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