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 S4 (revised). Age stratum × follow-up window subgroup analysis — lesion recurrence (Cohort B)</w:t>
      </w:r>
    </w:p>
    <w:p>
      <w:r>
        <w:rPr>
          <w:i/>
        </w:rPr>
        <w:t>Each row reports an age- and follow-up-window-stratified Cox proportional-hazards model with administrative censoring at the indicated follow-up window. Hazard ratios (HR) are age-adjusted within each stratum; standard errors are robust. Subgroup analyses are reported as exploratory and were not pre-specified for multiple-comparison adjustment.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Age stratum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Follow-up censor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Vac events/n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Ctl events/n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HR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95% CI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Significant (α=0.05)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All ages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7/241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31/867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0.348–1.747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0.546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All ages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7/241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39/867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0.618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0.279–1.371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All ages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10/241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48/867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0.366–1.417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All ages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 follow-up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13/241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57/867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0.438–1.445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0.452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&lt;40 years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2/154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12/532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0.129–2.552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&lt;40 years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2/154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16/532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0.099–1.863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&lt;40 years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3/154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22/532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0.143–1.597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&lt;40 years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 follow-up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5/154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26/532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0.690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0.266–1.789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40–49 years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1/65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16/261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0.033–1.857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40–49 years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1/65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18/261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0.030–1.639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40–49 years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3/65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21/261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0.167–1.773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40–49 years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 follow-up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3/65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26/261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0.139–1.453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0.182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≥50 years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4/22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3/74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4.110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0.842–20.048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≥50 years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4/22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5/74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2.605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0.657–10.324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≥50 years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4/22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5/74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2.605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0.657–10.324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≥50 years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 follow-up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5/22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5/74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3.228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0.903–11.538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30–52 (post-hoc)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2/168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24/632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0.071–1.265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30–52 (post-hoc)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2/168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31/632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0.056–0.966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30–52 (post-hoc)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yr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5/168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40/632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0.452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0.180–1.140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30–52 (post-hoc)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 follow-up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7/168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48/632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0.242–1.175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r>
        <w:rPr>
          <w:b/>
        </w:rPr>
        <w:t xml:space="preserve">Footnote: </w:t>
      </w:r>
      <w:r>
        <w:rPr>
          <w:sz w:val="16"/>
        </w:rPr>
        <w:t>The 30–52 year stratum is reported because it was identified post hoc as the strongest signal in a previous grid-search sensitivity analysis (Supplementary Table S4 grid version) but was not pre-specified. Across the pre-specified clinically motivated decade strata (&lt;40, 40–49, ≥50), no stratum reached nominal statistical significance at any follow-up window. The HR for the 30–52 stratum attenuates as follow-up is extended from 1 to 4 years to the full follow-up, a pattern compatible with either differential ascertainment in early follow-up or a true early-period effect that wanes; both interpretations remain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