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S5. Number at risk over follow-up time</w:t>
      </w:r>
    </w:p>
    <w:p>
      <w:r>
        <w:rPr>
          <w:i/>
        </w:rPr>
        <w:t>Number of patients still at risk (event-free and not censored) at each yearly time point from the index date. Patients were excluded from the at-risk denominator after the first event of the corresponding outcome, after death, or after censoring at last follow-up.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Cohort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Outcome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Group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Initial 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0 yr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1 yr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2 yr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3 yr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4 yr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5 yr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6 yr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7 yr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6"/>
              </w:rPr>
              <w:t>8 yr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Any-of-5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2027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2027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1721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1514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1324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1138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961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835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730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635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Any-of-5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Non-vaccinated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2035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2035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1898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1763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1643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1498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1347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1202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1042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914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MCE (MI/Stroke/PE)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1533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1151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974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850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746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653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MCE (MI/Stroke/PE)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Non-vaccinated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1916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1781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1661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1518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1362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1215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1056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928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Angina/MI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1533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1151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974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850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746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653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Angina/MI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Non-vaccinated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1917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1782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1661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1518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1362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1215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1056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928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Hypertension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2041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2041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1733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1524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1335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1145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968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843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740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647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Hypertension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Non-vaccinated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2045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2045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1911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1775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1654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1510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1358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1212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1053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925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Diabetes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2037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2037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1730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1523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1331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1144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967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737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642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Diabetes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Non-vaccinated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2041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2041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1905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1771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1649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1505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1353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1207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1047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919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Stroke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1533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1151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974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850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747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654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Stroke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Non-vaccinated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1917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1782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1661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1518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1363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1216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1057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929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PE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1533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1342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1151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974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850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747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654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PE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Non-vaccinated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1916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1781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1661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1518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1363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1216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1057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929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Lesion recurrence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241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241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228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Lesion recurrence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Non-vaccinated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867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867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805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730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657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547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406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338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233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HPV reinfection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241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241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HPV reinfection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Non-vaccinated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867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867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455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384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326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260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