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1. Baseline Characteristics of Study Cohorts</w:t>
      </w:r>
    </w:p>
    <w:p>
      <w:pPr>
        <w:pStyle w:val="Heading1"/>
      </w:pPr>
      <w:r>
        <w:t>Cohort A — Whole-cohort comorbidity analysis</w:t>
      </w:r>
    </w:p>
    <w:p>
      <w:r>
        <w:rPr>
          <w:b/>
          <w:sz w:val="22"/>
        </w:rPr>
        <w:t>(a) Pre-matching (Vaccinated n=2156 vs Non-vaccinated n=30813)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(n=2156)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(n=30813)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Birth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1982.32 ± 10.10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1968.93 ± 13.91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1.102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Mortality (ever)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 (0.3%)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370 (1.2%)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협심증/심근경색 (lifetime)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 (0.1%)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36 (0.1%)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고혈압 (lifetime)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 (0.8%)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267 (0.9%)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당뇨 (lifetime)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36 (1.7%)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410 (1.3%)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뇌출혈/뇌경색 (lifetime)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25 (0.1%)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폐색전증 (lifetime)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Composite (any of 1-5, lifetime)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54 (2.5%)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646 (2.1%)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0.027</w:t>
            </w:r>
          </w:p>
        </w:tc>
      </w:tr>
    </w:tbl>
    <w:p/>
    <w:p>
      <w:r>
        <w:rPr>
          <w:b/>
          <w:sz w:val="22"/>
        </w:rPr>
        <w:t>(b) Post-matching (Vaccinated n=2155 vs Non-vaccinated n=8620, 1:4 age-matched)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(n=2155)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(n=8620)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 at index,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33.48 ± 9.15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34.16 ± 9.22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Birth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1982.31 ± 10.08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1981.64 ± 10.07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Index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2015.74 ± 4.11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2015.74 ± 4.11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Follow-up, days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2135.18 ± 1733.48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2319.85 ± 1567.30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Mortality during follow-up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 (0.3%)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35 (0.4%)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협심증/심근경색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고혈압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 (0.2%)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당뇨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 (0.6%)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 (0.4%)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뇌출혈/뇌경색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폐색전증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Composite (any of 1-5, 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 (1.1%)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53 (0.6%)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0.054</w:t>
            </w:r>
          </w:p>
        </w:tc>
      </w:tr>
    </w:tbl>
    <w:p/>
    <w:p>
      <w:pPr>
        <w:pStyle w:val="Heading1"/>
      </w:pPr>
      <w:r>
        <w:t>Cohort B — Surgical efficacy analysis</w:t>
      </w:r>
    </w:p>
    <w:p>
      <w:r>
        <w:rPr>
          <w:b/>
          <w:sz w:val="22"/>
        </w:rPr>
        <w:t>(c) Pre-matching (Vaccinated n=566 vs Non-vaccinated n=6324, all surgery patients)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(n=566)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(n=6324)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 at surgery,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36.81 ± 9.41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48.67 ± 12.91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Birth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1979.96 ± 10.11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1968.29 ± 13.07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Surgery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2016.72 ± 4.22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2016.89 ± 3.87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Mortality (ever)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 (0.2%)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80 (1.3%)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협심증/심근경색 (pre-surgery)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 (0.1%)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고혈압 (pre-surgery)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 (0.9%)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109 (1.7%)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당뇨 (pre-surgery)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 (0.5%)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135 (2.1%)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뇌출혈/뇌경색 (pre-surgery)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 (0.1%)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폐색전증 (pre-surgery)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Composite (any of 1-5)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 (1.4%)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222 (3.5%)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Surgery 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원추절제술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545 (96.3%)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4965 (78.5%)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자궁절제술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 (3.7%)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1359 (21.5%)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0.556</w:t>
            </w:r>
          </w:p>
        </w:tc>
      </w:tr>
    </w:tbl>
    <w:p/>
    <w:p>
      <w:r>
        <w:rPr>
          <w:b/>
          <w:sz w:val="22"/>
        </w:rPr>
        <w:t>(d) Post-matching (Vaccinated n=241 vs Non-vaccinated n=867, fine-matched 1:4)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(n=241)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(n=867)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 at index,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37.26 ± 9.45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37.17 ± 8.53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Birth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1979.56 ± 10.22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1979.57 ± 9.43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Index year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2016.76 ± 3.82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2016.69 ± 3.74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BMI, kg/m²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22.34 ± 3.56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22.28 ± 3.75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Follow-up, days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2233.95 ± 1404.53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2236.13 ± 1351.73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Mortality during follow-up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 (0.5%)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0.096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협심증/심근경색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고혈압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 (1.7%)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 (0.7%)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당뇨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 (1.2%)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 (1.3%)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뇌출혈/뇌경색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폐색전증 (baseline)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Composite (any of 1-5, baseline)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 (2.9%)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 (1.7%)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Surgery 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원추절제술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240 (99.6%)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861 (99.3%)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자궁절제술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 (0.4%)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 (0.7%)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0.037</w:t>
            </w:r>
          </w:p>
        </w:tc>
      </w:tr>
    </w:tbl>
    <w:p/>
    <w:p>
      <w:r>
        <w:rPr>
          <w:b/>
        </w:rPr>
        <w:t xml:space="preserve">Footnote: </w:t>
      </w:r>
      <w:r>
        <w:rPr>
          <w:sz w:val="18"/>
        </w:rPr>
        <w:t>Continuous variables are presented as mean ± SD; categorical/binary variables as n (%). p-values from independent-sample t-test (continuous) or Fisher's exact test (categorical). |SMD|: absolute standardized mean difference; values &lt;0.10 indicate good balance. Pre-matching for Cohort A uses lifetime prevalence as no index date is available for non-vaccinated controls; post-matching uses pre-index baseline prevalence. Cohort B pre-matching uses pre-surgery baseline; post-matching uses pre-index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