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3. Cohort B — Vaccine effectiveness for lesion recurrence and high-risk HPV reinfection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Vaccinated</w:t>
              <w:br/>
              <w:t>(events / n)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Non-vaccinated</w:t>
              <w:br/>
              <w:t>(events / n)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Crude rate ratio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Age-adjusted HR</w:t>
              <w:br/>
              <w:t>(95% CI)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Lesion recurrence (HSIL/CIN3+)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13 / 241 (5.4%)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57 / 867 (6.6%)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0.760 (0.423–1.364)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New high-risk HPV infection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149 / 241 (61.8%)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546 / 867 (63.0%)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0.971 (0.804–1.172)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0.756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Either event (composite, descriptive)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153 / 241 (63.5%)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568 / 867 (65.5%)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</w:tbl>
    <w:p>
      <w:r>
        <w:rPr>
          <w:b/>
        </w:rPr>
        <w:t xml:space="preserve">Footnote: </w:t>
      </w:r>
      <w:r>
        <w:rPr>
          <w:sz w:val="16"/>
        </w:rPr>
        <w:t>Lesion recurrence is defined as biopsy-confirmed HSIL, CIN3, or invasive cervical cancer after the index date. New high-risk HPV infection is defined as a positive test for any of the 14 high-risk types after the index date. Hazard ratios are from Cox proportional-hazards regression adjusted for age at index, with robust standard errors. The descriptive composite row shows the proportion of women experiencing either event during follow-up.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