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480"/>
        <w:jc w:val="center"/>
      </w:pPr>
      <w:r>
        <w:rPr>
          <w:rFonts w:ascii="Arial" w:cs="Arial" w:eastAsia="Arial" w:hAnsi="Arial"/>
          <w:b/>
          <w:bCs/>
          <w:sz w:val="28"/>
          <w:szCs w:val="28"/>
        </w:rPr>
        <w:t xml:space="preserve">Long-term safety and post-surgical efficacy of HPV vaccination in women with cervical intraepithelial lesions: a prospective–retrospective cohort study using Korean clinical data warehouse</w:t>
      </w:r>
    </w:p>
    <w:p>
      <w:pPr>
        <w:spacing w:after="0" w:line="480"/>
      </w:pPr>
    </w:p>
    <w:p>
      <w:pPr>
        <w:spacing w:after="0" w:line="480"/>
      </w:pPr>
    </w:p>
    <w:p>
      <w:pPr>
        <w:spacing w:after="0" w:line="480"/>
      </w:pPr>
    </w:p>
    <w:p>
      <w:pPr>
        <w:spacing w:after="0" w:line="480"/>
      </w:pPr>
    </w:p>
    <w:p>
      <w:pPr>
        <w:spacing w:after="0" w:line="480"/>
        <w:ind/>
        <w:jc w:val="both"/>
      </w:pPr>
      <w:r>
        <w:rPr>
          <w:rFonts w:ascii="Arial" w:cs="Arial" w:eastAsia="Arial" w:hAnsi="Arial"/>
          <w:i/>
          <w:iCs/>
          <w:sz w:val="22"/>
          <w:szCs w:val="22"/>
        </w:rPr>
        <w:t xml:space="preserve">[Author names to be inserted]</w:t>
      </w:r>
    </w:p>
    <w:p>
      <w:pPr>
        <w:spacing w:after="0" w:line="480"/>
      </w:pPr>
    </w:p>
    <w:p>
      <w:pPr>
        <w:spacing w:after="0" w:line="480"/>
        <w:ind/>
        <w:jc w:val="both"/>
      </w:pPr>
      <w:r>
        <w:rPr>
          <w:rFonts w:ascii="Arial" w:cs="Arial" w:eastAsia="Arial" w:hAnsi="Arial"/>
          <w:i/>
          <w:iCs/>
          <w:sz w:val="22"/>
          <w:szCs w:val="22"/>
        </w:rPr>
        <w:t xml:space="preserve">[Affiliations to be inserted]</w:t>
      </w:r>
    </w:p>
    <w:p>
      <w:pPr>
        <w:spacing w:after="0" w:line="480"/>
      </w:pPr>
    </w:p>
    <w:p>
      <w:pPr>
        <w:spacing w:after="0" w:line="480"/>
      </w:pPr>
    </w:p>
    <w:p>
      <w:pPr>
        <w:spacing w:after="0" w:line="480"/>
        <w:ind/>
        <w:jc w:val="both"/>
      </w:pPr>
      <w:r>
        <w:rPr>
          <w:rFonts w:ascii="Arial" w:cs="Arial" w:eastAsia="Arial" w:hAnsi="Arial"/>
          <w:b/>
          <w:bCs/>
          <w:sz w:val="22"/>
          <w:szCs w:val="22"/>
        </w:rPr>
        <w:t xml:space="preserve">Corresponding author: </w:t>
      </w:r>
      <w:r>
        <w:rPr>
          <w:rFonts w:ascii="Arial" w:cs="Arial" w:eastAsia="Arial" w:hAnsi="Arial"/>
          <w:i/>
          <w:iCs/>
          <w:sz w:val="22"/>
          <w:szCs w:val="22"/>
        </w:rPr>
        <w:t xml:space="preserve">[Name, address, email to be inserted]</w:t>
      </w:r>
    </w:p>
    <w:p>
      <w:pPr>
        <w:spacing w:after="0" w:line="480"/>
      </w:pPr>
    </w:p>
    <w:p>
      <w:pPr>
        <w:spacing w:after="0" w:line="480"/>
        <w:ind/>
        <w:jc w:val="both"/>
      </w:pPr>
      <w:r>
        <w:rPr>
          <w:rFonts w:ascii="Arial" w:cs="Arial" w:eastAsia="Arial" w:hAnsi="Arial"/>
          <w:b/>
          <w:bCs/>
          <w:sz w:val="22"/>
          <w:szCs w:val="22"/>
        </w:rPr>
        <w:t xml:space="preserve">Word count: </w:t>
      </w:r>
      <w:r>
        <w:rPr>
          <w:rFonts w:ascii="Arial" w:cs="Arial" w:eastAsia="Arial" w:hAnsi="Arial"/>
          <w:i/>
          <w:iCs/>
          <w:sz w:val="22"/>
          <w:szCs w:val="22"/>
        </w:rPr>
        <w:t xml:space="preserve">[to be inserted]</w:t>
      </w:r>
    </w:p>
    <w:p>
      <w:pPr>
        <w:spacing w:after="0" w:line="480"/>
      </w:pPr>
    </w:p>
    <w:p>
      <w:pPr>
        <w:spacing w:after="0" w:line="480"/>
        <w:ind/>
        <w:jc w:val="both"/>
      </w:pPr>
      <w:r>
        <w:rPr>
          <w:rFonts w:ascii="Arial" w:cs="Arial" w:eastAsia="Arial" w:hAnsi="Arial"/>
          <w:b/>
          <w:bCs/>
          <w:sz w:val="22"/>
          <w:szCs w:val="22"/>
        </w:rPr>
        <w:t xml:space="preserve">Running title: </w:t>
      </w:r>
      <w:r>
        <w:rPr>
          <w:rFonts w:ascii="Arial" w:cs="Arial" w:eastAsia="Arial" w:hAnsi="Arial"/>
          <w:sz w:val="22"/>
          <w:szCs w:val="22"/>
        </w:rPr>
        <w:t xml:space="preserve">HPV vaccination safety and post-surgical efficacy</w:t>
      </w:r>
    </w:p>
    <w:p>
      <w:pPr>
        <w:sectPr>
          <w:pgSz w:w="11906" w:h="16838" w:orient="portrait"/>
          <w:pgMar w:top="1440" w:right="1440" w:bottom="1440" w:left="1440" w:header="708" w:footer="708" w:gutter="0"/>
          <w:pgNumType/>
          <w:docGrid w:linePitch="360"/>
        </w:sectPr>
      </w:pPr>
    </w:p>
    <w:p>
      <w:pPr>
        <w:pageBreakBefore/>
        <w:spacing w:after="200" w:line="360"/>
        <w:jc w:val="left"/>
      </w:pPr>
      <w:r>
        <w:rPr>
          <w:rFonts w:ascii="Arial" w:cs="Arial" w:eastAsia="Arial" w:hAnsi="Arial"/>
          <w:b/>
          <w:bCs/>
          <w:sz w:val="28"/>
          <w:szCs w:val="28"/>
        </w:rPr>
        <w:t xml:space="preserve">Abstract</w:t>
      </w:r>
    </w:p>
    <w:p>
      <w:pPr>
        <w:spacing w:after="0" w:line="480"/>
        <w:ind/>
        <w:jc w:val="both"/>
      </w:pPr>
      <w:r>
        <w:rPr>
          <w:rFonts w:ascii="Arial" w:cs="Arial" w:eastAsia="Arial" w:hAnsi="Arial"/>
          <w:sz w:val="22"/>
          <w:szCs w:val="22"/>
        </w:rP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Cohort B (n = 1,108; 241 vaccinated, 867 matched controls after surgery for high-grade squamous intraepithelial lesion [HSIL]/cervical intraepithelial neoplasia grade 3 [CIN3]+) assessed post-surgical efficacy with Bonferroni adjustment for two co-primary outcomes. All post-matching standardised mean differences were below 0.10. In Cohort A, vaccination was not associated with chronic-disease incidence (Any-of-five hazard ratio 1.26, 95% confidence interval 0.75–2.12). In Cohort B, no overall reduction was observed in lesion recurrence (hazard ratio 0.76, 0.43–1.33; Bonferroni-adjusted p = 0.67) or HPV reinfection (hazard ratio 0.97, 0.83–1.14; Bonferroni-adjusted p &gt; 0.99). A likelihood-ratio interaction test indicated heterogeneity across vaccine types for HPV reinfection (p = 0.037), with a protective signal for the quadrivalent product (hazard ratio 0.49, 0.26–0.93). HPV vaccination did not increase chronic-disease risk over approximately six years and may confer subgroup-specific benefit.</w:t>
      </w:r>
    </w:p>
    <w:p>
      <w:pPr>
        <w:spacing w:after="0" w:line="480"/>
      </w:pPr>
    </w:p>
    <w:p>
      <w:pPr>
        <w:spacing w:after="0" w:line="480"/>
        <w:ind/>
        <w:jc w:val="both"/>
      </w:pPr>
      <w:r>
        <w:rPr>
          <w:rFonts w:ascii="Arial" w:cs="Arial" w:eastAsia="Arial" w:hAnsi="Arial"/>
          <w:b/>
          <w:bCs/>
          <w:sz w:val="22"/>
          <w:szCs w:val="22"/>
        </w:rPr>
        <w:t xml:space="preserve">Keywords: </w:t>
      </w:r>
      <w:r>
        <w:rPr>
          <w:rFonts w:ascii="Arial" w:cs="Arial" w:eastAsia="Arial" w:hAnsi="Arial"/>
          <w:sz w:val="22"/>
          <w:szCs w:val="22"/>
        </w:rPr>
        <w:t xml:space="preserve">human papillomavirus vaccine, cervical intraepithelial neoplasia, conization, propensity score matching, competing risks, real-world evidence, cohort study</w:t>
      </w:r>
    </w:p>
    <w:p>
      <w:pPr>
        <w:pageBreakBefore/>
        <w:spacing w:after="200" w:line="360"/>
        <w:jc w:val="left"/>
      </w:pPr>
      <w:r>
        <w:rPr>
          <w:rFonts w:ascii="Arial" w:cs="Arial" w:eastAsia="Arial" w:hAnsi="Arial"/>
          <w:b/>
          <w:bCs/>
          <w:sz w:val="28"/>
          <w:szCs w:val="28"/>
        </w:rPr>
        <w:t xml:space="preserve">Methods</w:t>
      </w:r>
    </w:p>
    <w:p>
      <w:pPr>
        <w:spacing w:after="120" w:before="240" w:line="480"/>
      </w:pPr>
      <w:r>
        <w:rPr>
          <w:rFonts w:ascii="Arial" w:cs="Arial" w:eastAsia="Arial" w:hAnsi="Arial"/>
          <w:b/>
          <w:bCs/>
          <w:i w:val="false"/>
          <w:iCs w:val="false"/>
          <w:sz w:val="22"/>
          <w:szCs w:val="22"/>
        </w:rPr>
        <w:t xml:space="preserve">Study design and data source</w:t>
      </w:r>
    </w:p>
    <w:p>
      <w:pPr>
        <w:spacing w:after="0" w:line="480"/>
        <w:ind/>
        <w:jc w:val="both"/>
      </w:pPr>
      <w:r>
        <w:rPr>
          <w:rFonts w:ascii="Arial" w:cs="Arial" w:eastAsia="Arial" w:hAnsi="Arial"/>
          <w:sz w:val="22"/>
          <w:szCs w:val="22"/>
        </w:rP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 The institutional review board approved the protocol with a waiver of informed consent for the retrospective component (IRB number to be inserted).</w:t>
      </w:r>
    </w:p>
    <w:p>
      <w:pPr>
        <w:spacing w:after="120" w:before="240" w:line="480"/>
      </w:pPr>
      <w:r>
        <w:rPr>
          <w:rFonts w:ascii="Arial" w:cs="Arial" w:eastAsia="Arial" w:hAnsi="Arial"/>
          <w:b/>
          <w:bCs/>
          <w:i w:val="false"/>
          <w:iCs w:val="false"/>
          <w:sz w:val="22"/>
          <w:szCs w:val="22"/>
        </w:rPr>
        <w:t xml:space="preserve">Source population</w:t>
      </w:r>
    </w:p>
    <w:p>
      <w:pPr>
        <w:spacing w:after="0" w:line="480"/>
        <w:ind/>
        <w:jc w:val="both"/>
      </w:pPr>
      <w:r>
        <w:rPr>
          <w:rFonts w:ascii="Arial" w:cs="Arial" w:eastAsia="Arial" w:hAnsi="Arial"/>
          <w:sz w:val="22"/>
          <w:szCs w:val="22"/>
        </w:rP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p>
      <w:pPr>
        <w:spacing w:after="120" w:before="240" w:line="480"/>
      </w:pPr>
      <w:r>
        <w:rPr>
          <w:rFonts w:ascii="Arial" w:cs="Arial" w:eastAsia="Arial" w:hAnsi="Arial"/>
          <w:b/>
          <w:bCs/>
          <w:i w:val="false"/>
          <w:iCs w:val="false"/>
          <w:sz w:val="22"/>
          <w:szCs w:val="22"/>
        </w:rPr>
        <w:t xml:space="preserve">Exposure ascertainment</w:t>
      </w:r>
    </w:p>
    <w:p>
      <w:pPr>
        <w:spacing w:after="0" w:line="480"/>
        <w:ind/>
        <w:jc w:val="both"/>
      </w:pPr>
      <w:r>
        <w:rPr>
          <w:rFonts w:ascii="Arial" w:cs="Arial" w:eastAsia="Arial" w:hAnsi="Arial"/>
          <w:sz w:val="22"/>
          <w:szCs w:val="22"/>
        </w:rPr>
        <w:t xml:space="preserve">HPV vaccination status was determined from the prescription file using a keyword search for the brand names "Gardasil", "Gardasil 9", and "Cervarix" (and the corresponding Korean transliterations 가다실 and 서바릭스). Among the 32,969 women in the source population, 2,156 (6.5%) had at least one HPV-vaccine dispensation; of these, 53.1% received the nine-valent product (Gardasil 9), 32.0% the bivalent product (Cervarix), and 14.9% the quadrivalent product (Gardasil). The date of the first dispensation was used as the exposure index date. Women with no vaccine record at any time were classified as unvaccinated.</w:t>
      </w:r>
    </w:p>
    <w:p>
      <w:pPr>
        <w:spacing w:after="120" w:before="240" w:line="480"/>
      </w:pPr>
      <w:r>
        <w:rPr>
          <w:rFonts w:ascii="Arial" w:cs="Arial" w:eastAsia="Arial" w:hAnsi="Arial"/>
          <w:b/>
          <w:bCs/>
          <w:i w:val="false"/>
          <w:iCs w:val="false"/>
          <w:sz w:val="22"/>
          <w:szCs w:val="22"/>
        </w:rPr>
        <w:t xml:space="preserve">Two analytic cohorts</w:t>
      </w:r>
    </w:p>
    <w:p>
      <w:pPr>
        <w:spacing w:after="0" w:line="480"/>
        <w:ind/>
        <w:jc w:val="both"/>
      </w:pPr>
      <w:r>
        <w:rPr>
          <w:rFonts w:ascii="Arial" w:cs="Arial" w:eastAsia="Arial" w:hAnsi="Arial"/>
          <w:sz w:val="22"/>
          <w:szCs w:val="22"/>
        </w:rPr>
        <w:t xml:space="preserve">To address two complementary research questions, two analytic cohorts were derived from the same source population by applying distinct eligibility and matching procedures.</w:t>
      </w:r>
    </w:p>
    <w:p>
      <w:pPr>
        <w:spacing w:after="0" w:line="480"/>
        <w:ind w:firstLine="800"/>
        <w:jc w:val="both"/>
      </w:pPr>
      <w:r>
        <w:rPr>
          <w:rFonts w:ascii="Arial" w:cs="Arial" w:eastAsia="Arial" w:hAnsi="Arial"/>
          <w:b/>
          <w:bCs/>
          <w:sz w:val="22"/>
          <w:szCs w:val="22"/>
        </w:rPr>
        <w:t xml:space="preserve">Cohort A</w:t>
      </w:r>
      <w:r>
        <w:rPr>
          <w:rFonts w:ascii="Arial" w:cs="Arial" w:eastAsia="Arial" w:hAnsi="Arial"/>
          <w:sz w:val="22"/>
          <w:szCs w:val="22"/>
        </w:rPr>
        <w:t xml:space="preserve"> 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 (2011). The final matched Cohort A comprised 2,051 vaccinated and 2,051 unvaccinated women.</w:t>
      </w:r>
    </w:p>
    <w:p>
      <w:pPr>
        <w:spacing w:after="0" w:line="480"/>
        <w:ind w:firstLine="800"/>
        <w:jc w:val="both"/>
      </w:pPr>
      <w:r>
        <w:rPr>
          <w:rFonts w:ascii="Arial" w:cs="Arial" w:eastAsia="Arial" w:hAnsi="Arial"/>
          <w:b/>
          <w:bCs/>
          <w:sz w:val="22"/>
          <w:szCs w:val="22"/>
        </w:rPr>
        <w:t xml:space="preserve">Cohort B</w:t>
      </w:r>
      <w:r>
        <w:rPr>
          <w:rFonts w:ascii="Arial" w:cs="Arial" w:eastAsia="Arial" w:hAnsi="Arial"/>
          <w:sz w:val="22"/>
          <w:szCs w:val="22"/>
        </w:rPr>
        <w:t xml:space="preserve"> addressed the post-surgical efficacy question and was restricted to the 6,890 women who had undergone cervical conization or hysterectomy for histologically confirmed HSIL/CIN3 or higher disease. Vaccinated and unvaccinated women were matched in two steps. An initial 1:5 match required exact agreement on surgical procedure (conization or hysterectomy) and matching on calendar year of surgery within ±1 year and on age at surgery within ±5 years.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1:4 match further balanced the groups on age at index, body-mass index nearest the index date, and surgery year. The final Cohort B comprised 241 vaccinated and 867 unvaccinated women.</w:t>
      </w:r>
    </w:p>
    <w:p>
      <w:pPr>
        <w:spacing w:after="120" w:before="240" w:line="480"/>
      </w:pPr>
      <w:r>
        <w:rPr>
          <w:rFonts w:ascii="Arial" w:cs="Arial" w:eastAsia="Arial" w:hAnsi="Arial"/>
          <w:b/>
          <w:bCs/>
          <w:i w:val="false"/>
          <w:iCs w:val="false"/>
          <w:sz w:val="22"/>
          <w:szCs w:val="22"/>
        </w:rPr>
        <w:t xml:space="preserve">Outcome definitions</w:t>
      </w:r>
    </w:p>
    <w:p>
      <w:pPr>
        <w:spacing w:after="0" w:line="480"/>
        <w:ind/>
        <w:jc w:val="both"/>
      </w:pPr>
      <w:r>
        <w:rPr>
          <w:rFonts w:ascii="Arial" w:cs="Arial" w:eastAsia="Arial" w:hAnsi="Arial"/>
          <w:sz w:val="22"/>
          <w:szCs w:val="22"/>
        </w:rP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 "Any-of-five" 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spacing w:after="0" w:line="480"/>
        <w:ind w:firstLine="800"/>
        <w:jc w:val="both"/>
      </w:pPr>
      <w:r>
        <w:rPr>
          <w:rFonts w:ascii="Arial" w:cs="Arial" w:eastAsia="Arial" w:hAnsi="Arial"/>
          <w:sz w:val="22"/>
          <w:szCs w:val="22"/>
        </w:rPr>
        <w:t xml:space="preserve">In Cohort B, the two pre-specified primary outcomes were biopsy-confirmed lesion recurrence (defined as a HSIL, CIN3, or invasive cervical cancer diagnosis after the index date) and new high-risk HPV infection (defined as positivity for any of the 14 high-risk types: 16, 18, 31, 33, 35, 39, 45, 51, 52, 56, 58, 59, 66, and 68). Time was censored at last follow-up, death, loss to follow-up, or 31 December 2025, whichever occurred first.</w:t>
      </w:r>
    </w:p>
    <w:p>
      <w:pPr>
        <w:spacing w:after="120" w:before="240" w:line="480"/>
      </w:pPr>
      <w:r>
        <w:rPr>
          <w:rFonts w:ascii="Arial" w:cs="Arial" w:eastAsia="Arial" w:hAnsi="Arial"/>
          <w:b/>
          <w:bCs/>
          <w:i w:val="false"/>
          <w:iCs w:val="false"/>
          <w:sz w:val="22"/>
          <w:szCs w:val="22"/>
        </w:rPr>
        <w:t xml:space="preserve">Statistical analysis</w:t>
      </w:r>
    </w:p>
    <w:p>
      <w:pPr>
        <w:spacing w:after="0" w:line="480"/>
        <w:ind/>
        <w:jc w:val="both"/>
      </w:pPr>
      <w:r>
        <w:rPr>
          <w:rFonts w:ascii="Arial" w:cs="Arial" w:eastAsia="Arial" w:hAnsi="Arial"/>
          <w:sz w:val="22"/>
          <w:szCs w:val="22"/>
        </w:rP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spacing w:after="0" w:line="480"/>
        <w:ind w:firstLine="800"/>
        <w:jc w:val="both"/>
      </w:pPr>
      <w:r>
        <w:rPr>
          <w:rFonts w:ascii="Arial" w:cs="Arial" w:eastAsia="Arial" w:hAnsi="Arial"/>
          <w:sz w:val="22"/>
          <w:szCs w:val="22"/>
        </w:rP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 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Kaplan–Meier estimators with log-rank tests were used to compare time-to-event curves, and Cox proportional-hazards models adjusted for age at index were used to estimate hazard ratios with 95% confidence intervals, again with cluster-robust standard errors using the fine-matching identifier as the cluster variable. The proportional-hazards assumption was assessed for all primary models by the Schoenfeld residual rank test and inspected graphically by scaled-Schoenfeld plots; results are reported in Supplementary Table S7 and Supplementary Figures S5–S6. Person-years were accumulated from the index date to the first event, death, or last follow-up, and incidence rates per 1,000 person-years are reported alongside hazard ratios.</w:t>
      </w:r>
    </w:p>
    <w:p>
      <w:pPr>
        <w:spacing w:after="0" w:line="480"/>
        <w:ind w:firstLine="800"/>
        <w:jc w:val="both"/>
      </w:pPr>
      <w:r>
        <w:rPr>
          <w:rFonts w:ascii="Arial" w:cs="Arial" w:eastAsia="Arial" w:hAnsi="Arial"/>
          <w:sz w:val="22"/>
          <w:szCs w:val="22"/>
        </w:rPr>
        <w:t xml:space="preserve">Because the two Cohort B primary outcomes constitute a small pre-specified family, p values were Bonferroni-adjusted (k = 2) and 97.5% confidence intervals are reported in addition to nominal 95% intervals.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were retained as exploratory and were not adjusted for multiple comparisons; their findings are interpreted as hypothesis-generating.</w:t>
      </w:r>
    </w:p>
    <w:p>
      <w:pPr>
        <w:spacing w:after="0" w:line="480"/>
        <w:ind w:firstLine="800"/>
        <w:jc w:val="both"/>
      </w:pPr>
      <w:r>
        <w:rPr>
          <w:rFonts w:ascii="Arial" w:cs="Arial" w:eastAsia="Arial" w:hAnsi="Arial"/>
          <w:sz w:val="22"/>
          <w:szCs w:val="22"/>
        </w:rP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 "as-treated" is avoided because the analysis is, by design, anchored to the date of first vaccine receipt; results from a true intention-to-treat formulation are not pertinent in this single-arm exposure-ascertained setting.</w:t>
      </w:r>
    </w:p>
    <w:p>
      <w:pPr>
        <w:spacing w:after="0" w:line="480"/>
        <w:ind w:firstLine="800"/>
        <w:jc w:val="both"/>
      </w:pPr>
      <w:r>
        <w:rPr>
          <w:rFonts w:ascii="Arial" w:cs="Arial" w:eastAsia="Arial" w:hAnsi="Arial"/>
          <w:sz w:val="22"/>
          <w:szCs w:val="22"/>
        </w:rPr>
        <w:t xml:space="preserve">All analyses were conducted in Python 3.14.3 using lifelines 0.30.3, scikit-learn 1.8.0, scipy 1.17.1, pandas 2.3.3, and numpy 2.4.2; random seeds were set to 42 for reproducibility. The analysis code is available in the project repository.</w:t>
      </w:r>
    </w:p>
    <w:p>
      <w:pPr>
        <w:pageBreakBefore/>
        <w:spacing w:after="200" w:line="360"/>
        <w:jc w:val="left"/>
      </w:pPr>
      <w:r>
        <w:rPr>
          <w:rFonts w:ascii="Arial" w:cs="Arial" w:eastAsia="Arial" w:hAnsi="Arial"/>
          <w:b/>
          <w:bCs/>
          <w:sz w:val="28"/>
          <w:szCs w:val="28"/>
        </w:rPr>
        <w:t xml:space="preserve">Results</w:t>
      </w:r>
    </w:p>
    <w:p>
      <w:pPr>
        <w:spacing w:after="120" w:before="240" w:line="480"/>
      </w:pPr>
      <w:r>
        <w:rPr>
          <w:rFonts w:ascii="Arial" w:cs="Arial" w:eastAsia="Arial" w:hAnsi="Arial"/>
          <w:b/>
          <w:bCs/>
          <w:i w:val="false"/>
          <w:iCs w:val="false"/>
          <w:sz w:val="22"/>
          <w:szCs w:val="22"/>
        </w:rPr>
        <w:t xml:space="preserve">Cohort selection and baseline characteristics</w:t>
      </w:r>
    </w:p>
    <w:p>
      <w:pPr>
        <w:spacing w:after="0" w:line="480"/>
        <w:ind/>
        <w:jc w:val="both"/>
      </w:pPr>
      <w:r>
        <w:rPr>
          <w:rFonts w:ascii="Arial" w:cs="Arial" w:eastAsia="Arial" w:hAnsi="Arial"/>
          <w:sz w:val="22"/>
          <w:szCs w:val="22"/>
        </w:rP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1:4 ratio). The full selection process is shown in </w:t>
      </w:r>
      <w:r>
        <w:rPr>
          <w:rFonts w:ascii="Arial" w:cs="Arial" w:eastAsia="Arial" w:hAnsi="Arial"/>
          <w:b/>
          <w:bCs/>
          <w:sz w:val="22"/>
          <w:szCs w:val="22"/>
        </w:rPr>
        <w:t xml:space="preserve">Figure 1</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rFonts w:ascii="Arial" w:cs="Arial" w:eastAsia="Arial" w:hAnsi="Arial"/>
          <w:b/>
          <w:bCs/>
          <w:sz w:val="22"/>
          <w:szCs w:val="22"/>
        </w:rPr>
        <w:t xml:space="preserve">Table 1</w:t>
      </w:r>
      <w:r>
        <w:rPr>
          <w:rFonts w:ascii="Arial" w:cs="Arial" w:eastAsia="Arial" w:hAnsi="Arial"/>
          <w:sz w:val="22"/>
          <w:szCs w:val="22"/>
        </w:rP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spacing w:after="0" w:line="480"/>
        <w:ind w:firstLine="800"/>
        <w:jc w:val="both"/>
      </w:pPr>
      <w:r>
        <w:rPr>
          <w:rFonts w:ascii="Arial" w:cs="Arial" w:eastAsia="Arial" w:hAnsi="Arial"/>
          <w:sz w:val="22"/>
          <w:szCs w:val="22"/>
        </w:rP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2,234 days (approximately 6.1 years) in vaccinated women and 2,236 days in controls.</w:t>
      </w:r>
    </w:p>
    <w:p>
      <w:pPr>
        <w:spacing w:after="120" w:before="240" w:line="480"/>
      </w:pPr>
      <w:r>
        <w:rPr>
          <w:rFonts w:ascii="Arial" w:cs="Arial" w:eastAsia="Arial" w:hAnsi="Arial"/>
          <w:b/>
          <w:bCs/>
          <w:i w:val="false"/>
          <w:iCs w:val="false"/>
          <w:sz w:val="22"/>
          <w:szCs w:val="22"/>
        </w:rPr>
        <w:t xml:space="preserve">Cohort A — Long-term incidence of chronic comorbidities</w:t>
      </w:r>
    </w:p>
    <w:p>
      <w:pPr>
        <w:spacing w:after="0" w:line="480"/>
        <w:ind/>
        <w:jc w:val="both"/>
      </w:pPr>
      <w:r>
        <w:rPr>
          <w:rFonts w:ascii="Arial" w:cs="Arial" w:eastAsia="Arial" w:hAnsi="Arial"/>
          <w:sz w:val="22"/>
          <w:szCs w:val="22"/>
        </w:rP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spacing w:after="0" w:line="480"/>
        <w:ind w:firstLine="800"/>
        <w:jc w:val="both"/>
      </w:pPr>
      <w:r>
        <w:rPr>
          <w:rFonts w:ascii="Arial" w:cs="Arial" w:eastAsia="Arial" w:hAnsi="Arial"/>
          <w:sz w:val="22"/>
          <w:szCs w:val="22"/>
        </w:rP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rFonts w:ascii="Arial" w:cs="Arial" w:eastAsia="Arial" w:hAnsi="Arial"/>
          <w:b/>
          <w:bCs/>
          <w:sz w:val="22"/>
          <w:szCs w:val="22"/>
        </w:rPr>
        <w:t xml:space="preserve">Table 2</w:t>
      </w:r>
      <w:r>
        <w:rPr>
          <w:rFonts w:ascii="Arial" w:cs="Arial" w:eastAsia="Arial" w:hAnsi="Arial"/>
          <w:sz w:val="22"/>
          <w:szCs w:val="22"/>
        </w:rPr>
        <w:t xml:space="preserve">). The pseudo-index sensitivity analysis showed concordant Any-of-five hazard ratios across the random-sampling, calendar-year-matched, and risk-set sampling strategies (1.26, 1.27, and 1.21, respectively; Supplementary Table S8), supporting the robustness of the primary estimate. Across all analyses the upper 95% confidence limits of the hazard ratios excluded clinically meaningful protective effects, but the lower limits were also compatible with no association, so we interpret these data as showing no signal of harm and inadequate power to detect modest protective effects.</w:t>
      </w:r>
    </w:p>
    <w:p>
      <w:pPr>
        <w:spacing w:after="120" w:before="240" w:line="480"/>
      </w:pPr>
      <w:r>
        <w:rPr>
          <w:rFonts w:ascii="Arial" w:cs="Arial" w:eastAsia="Arial" w:hAnsi="Arial"/>
          <w:b/>
          <w:bCs/>
          <w:i w:val="false"/>
          <w:iCs w:val="false"/>
          <w:sz w:val="22"/>
          <w:szCs w:val="22"/>
        </w:rPr>
        <w:t xml:space="preserve">Cohort B — Post-surgical vaccine efficacy</w:t>
      </w:r>
    </w:p>
    <w:p>
      <w:pPr>
        <w:spacing w:after="0" w:line="480"/>
        <w:ind/>
        <w:jc w:val="both"/>
      </w:pPr>
      <w:r>
        <w:rPr>
          <w:rFonts w:ascii="Arial" w:cs="Arial" w:eastAsia="Arial" w:hAnsi="Arial"/>
          <w:sz w:val="22"/>
          <w:szCs w:val="22"/>
        </w:rPr>
        <w:t xml:space="preserve">Over a mean follow-up of approximately 6.1 years per participant (1,474 person-years in vaccinated and 5,308 person-years in unvaccinated women), 70 women experienced biopsy-confirmed lesion recurrence (13 of 241 vaccinated, incidence rate 8.82 per 1,000 person-years; 57 of 867 controls, 10.74 per 1,000 person-years) and 695 experienced a new high-risk HPV infection (149 vaccinated, 101.08 per 1,000 person-years; 546 controls, 102.86 per 1,000 person-years). In age-adjusted Cox models with cluster-robust standard errors using the fine-matching identifier, vaccination was not significantly associated with recurrence (hazard ratio 0.76, 95% confidence interval 0.43 to 1.33, p = 0.34; Bonferroni-adjusted p = 0.67; 97.5% CI 0.40 to 1.44) or with HPV reinfection (hazard ratio 0.97, 95% CI 0.83 to 1.14, p = 0.71; Bonferroni-adjusted p &gt; 0.99; 97.5% CI 0.81 to 1.16). The Schoenfeld residual rank test did not indicate violation of the proportional-hazards assumption for either outcome (p = 0.59 for recurrence and p = 0.12 for HPV reinfection on the vaccinated covariate). Kaplan–Meier curves and the corresponding hazard ratios are shown in </w:t>
      </w:r>
      <w:r>
        <w:rPr>
          <w:rFonts w:ascii="Arial" w:cs="Arial" w:eastAsia="Arial" w:hAnsi="Arial"/>
          <w:b/>
          <w:bCs/>
          <w:sz w:val="22"/>
          <w:szCs w:val="22"/>
        </w:rPr>
        <w:t xml:space="preserve">Figure 3</w:t>
      </w:r>
      <w:r>
        <w:rPr>
          <w:rFonts w:ascii="Arial" w:cs="Arial" w:eastAsia="Arial" w:hAnsi="Arial"/>
          <w:sz w:val="22"/>
          <w:szCs w:val="22"/>
        </w:rPr>
        <w:t xml:space="preserve"> and </w:t>
      </w:r>
      <w:r>
        <w:rPr>
          <w:rFonts w:ascii="Arial" w:cs="Arial" w:eastAsia="Arial" w:hAnsi="Arial"/>
          <w:b/>
          <w:bCs/>
          <w:sz w:val="22"/>
          <w:szCs w:val="22"/>
        </w:rPr>
        <w:t xml:space="preserve">Table 3</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To formally test heterogeneity by vaccine type while avoiding the dependence created by reusing non-vaccinated controls across pairwise vaccine subgroups, we fitted a single age-adjusted Cox model with vaccination, vaccine-type indicators (Gardasil 9 reference), and vaccine-type × vaccination interaction terms; the matched cluster identifier was used for robust standard errors. The likelihood-ratio test for vaccine-type heterogeneity was non-significant for lesion recurrence (χ² = 0.27 on 2 degrees of freedom, p = 0.87) but significant for HPV reinfection (χ² = 6.60 on 2 degrees of freedom, p = 0.037), supporting differential effects across products for the latter outcome (</w:t>
      </w:r>
      <w:r>
        <w:rPr>
          <w:rFonts w:ascii="Arial" w:cs="Arial" w:eastAsia="Arial" w:hAnsi="Arial"/>
          <w:b/>
          <w:bCs/>
          <w:sz w:val="22"/>
          <w:szCs w:val="22"/>
        </w:rPr>
        <w:t xml:space="preserve">Figure 4</w:t>
      </w:r>
      <w:r>
        <w:rPr>
          <w:rFonts w:ascii="Arial" w:cs="Arial" w:eastAsia="Arial" w:hAnsi="Arial"/>
          <w:sz w:val="22"/>
          <w:szCs w:val="22"/>
        </w:rPr>
        <w:t xml:space="preserve">). Within this single-model formulation the type-specific HPV-reinfection hazard ratios were 1.10 for Gardasil 9 (95% CI 0.90 to 1.33), 1.11 for Cervarix (95% CI 0.81 to 1.51), and 0.49 for Gardasil (95% CI 0.26 to 0.93), in line with the previously observed quadrivalent-specific protective signal. As an additional exploratory analysis, an age-stratified landmark analysis restricting follow-up to two years showed a significant reduction in lesion recurrence among women aged 30 to 52 years (hazard ratio 0.23, 95% confidence interval 0.06 to 0.96, p = 0.04), with similar point estimates for adjacent age ranges (Supplementary Table S4). Both subgroup findings are interpreted as hypothesis-generating because they were not pre-specified for multiple-comparison adjustment.</w:t>
      </w:r>
    </w:p>
    <w:p>
      <w:pPr>
        <w:spacing w:after="0" w:line="480"/>
        <w:ind w:firstLine="800"/>
        <w:jc w:val="both"/>
      </w:pPr>
      <w:r>
        <w:rPr>
          <w:rFonts w:ascii="Arial" w:cs="Arial" w:eastAsia="Arial" w:hAnsi="Arial"/>
          <w:sz w:val="22"/>
          <w:szCs w:val="22"/>
        </w:rPr>
        <w:t xml:space="preserve">Pre-specified sensitivity analyses (Supplementary Table S3) restricting follow-up to three and five years, and comparing age-adjusted with unadjusted Cox models, did not materially alter the overall null findings.</w:t>
      </w:r>
    </w:p>
    <w:p>
      <w:pPr>
        <w:pageBreakBefore/>
        <w:spacing w:after="200" w:line="360"/>
        <w:jc w:val="left"/>
      </w:pPr>
      <w:r>
        <w:rPr>
          <w:rFonts w:ascii="Arial" w:cs="Arial" w:eastAsia="Arial" w:hAnsi="Arial"/>
          <w:b/>
          <w:bCs/>
          <w:sz w:val="28"/>
          <w:szCs w:val="28"/>
        </w:rPr>
        <w:t xml:space="preserve">Tables and Figures</w:t>
      </w:r>
    </w:p>
    <w:p>
      <w:pPr>
        <w:spacing w:after="120" w:before="240" w:line="480"/>
      </w:pPr>
      <w:r>
        <w:rPr>
          <w:rFonts w:ascii="Arial" w:cs="Arial" w:eastAsia="Arial" w:hAnsi="Arial"/>
          <w:b/>
          <w:bCs/>
          <w:i w:val="false"/>
          <w:iCs w:val="false"/>
          <w:sz w:val="22"/>
          <w:szCs w:val="22"/>
        </w:rPr>
        <w:t xml:space="preserve">Main tables and figures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Figure 1</w:t>
      </w:r>
      <w:r>
        <w:rPr>
          <w:rFonts w:ascii="Arial" w:cs="Arial" w:eastAsia="Arial" w:hAnsi="Arial"/>
          <w:sz w:val="22"/>
          <w:szCs w:val="22"/>
        </w:rPr>
        <w:t xml:space="preserve">. CONSORT-style cohort selection flow diagram showing derivation of Cohort A (whole-cohort safety analysis) and Cohort B (post-surgical efficacy analysis) from the single source population (Mermaid diagram in `docs/Methods_CohortSelection.md`; export to PNG for submission).
- </w:t>
      </w:r>
      <w:r>
        <w:rPr>
          <w:rFonts w:ascii="Arial" w:cs="Arial" w:eastAsia="Arial" w:hAnsi="Arial"/>
          <w:b/>
          <w:bCs/>
          <w:sz w:val="22"/>
          <w:szCs w:val="22"/>
        </w:rPr>
        <w:t xml:space="preserve">Figure 2</w:t>
      </w:r>
      <w:r>
        <w:rPr>
          <w:rFonts w:ascii="Arial" w:cs="Arial" w:eastAsia="Arial" w:hAnsi="Arial"/>
          <w:sz w:val="22"/>
          <w:szCs w:val="22"/>
        </w:rPr>
        <w:t xml:space="preserve">. Cumulative incidence functions (Aalen–Johansen estimator) and forest plot of cause-specific and Fine–Gray subdistribution hazard ratios for Cohort A. File: `Data/cohort_a_psm_cif_hr.png`.
- </w:t>
      </w:r>
      <w:r>
        <w:rPr>
          <w:rFonts w:ascii="Arial" w:cs="Arial" w:eastAsia="Arial" w:hAnsi="Arial"/>
          <w:b/>
          <w:bCs/>
          <w:sz w:val="22"/>
          <w:szCs w:val="22"/>
        </w:rPr>
        <w:t xml:space="preserve">Figure 3</w:t>
      </w:r>
      <w:r>
        <w:rPr>
          <w:rFonts w:ascii="Arial" w:cs="Arial" w:eastAsia="Arial" w:hAnsi="Arial"/>
          <w:sz w:val="22"/>
          <w:szCs w:val="22"/>
        </w:rPr>
        <w:t xml:space="preserve">. Kaplan–Meier survival curves for biopsy-confirmed lesion recurrence and high-risk HPV reinfection in Cohort B. File: `Data/figure1_kaplan_meier.png`.
- </w:t>
      </w:r>
      <w:r>
        <w:rPr>
          <w:rFonts w:ascii="Arial" w:cs="Arial" w:eastAsia="Arial" w:hAnsi="Arial"/>
          <w:b/>
          <w:bCs/>
          <w:sz w:val="22"/>
          <w:szCs w:val="22"/>
        </w:rPr>
        <w:t xml:space="preserve">Figure 4</w:t>
      </w:r>
      <w:r>
        <w:rPr>
          <w:rFonts w:ascii="Arial" w:cs="Arial" w:eastAsia="Arial" w:hAnsi="Arial"/>
          <w:sz w:val="22"/>
          <w:szCs w:val="22"/>
        </w:rPr>
        <w:t xml:space="preserve">. Forest plot of hazard ratios by vaccine type (Gardasil 9, Cervarix, Gardasil) for both Cohort B outcomes. File: `Data/figure5_vaccine_forest.png`.
- </w:t>
      </w:r>
      <w:r>
        <w:rPr>
          <w:rFonts w:ascii="Arial" w:cs="Arial" w:eastAsia="Arial" w:hAnsi="Arial"/>
          <w:b/>
          <w:bCs/>
          <w:sz w:val="22"/>
          <w:szCs w:val="22"/>
        </w:rPr>
        <w:t xml:space="preserve">Table 1</w:t>
      </w:r>
      <w:r>
        <w:rPr>
          <w:rFonts w:ascii="Arial" w:cs="Arial" w:eastAsia="Arial" w:hAnsi="Arial"/>
          <w:sz w:val="22"/>
          <w:szCs w:val="22"/>
        </w:rPr>
        <w:t xml:space="preserve">. Baseline characteristics of analytic cohorts after matching, with absolute standardised mean differences. Source: `Data/Table1_BaselineCharacteristics_unified.docx` (post-matching blocks).
- </w:t>
      </w:r>
      <w:r>
        <w:rPr>
          <w:rFonts w:ascii="Arial" w:cs="Arial" w:eastAsia="Arial" w:hAnsi="Arial"/>
          <w:b/>
          <w:bCs/>
          <w:sz w:val="22"/>
          <w:szCs w:val="22"/>
        </w:rPr>
        <w:t xml:space="preserve">Table 2</w:t>
      </w:r>
      <w:r>
        <w:rPr>
          <w:rFonts w:ascii="Arial" w:cs="Arial" w:eastAsia="Arial" w:hAnsi="Arial"/>
          <w:sz w:val="22"/>
          <w:szCs w:val="22"/>
        </w:rPr>
        <w:t xml:space="preserve">. Cohort A — events, cause-specific hazard ratios, and Fine–Gray subdistribution hazard ratios for each endpoint. Source: `Data/cohort_a_psm_hr_results.csv`.
- </w:t>
      </w:r>
      <w:r>
        <w:rPr>
          <w:rFonts w:ascii="Arial" w:cs="Arial" w:eastAsia="Arial" w:hAnsi="Arial"/>
          <w:b/>
          <w:bCs/>
          <w:sz w:val="22"/>
          <w:szCs w:val="22"/>
        </w:rPr>
        <w:t xml:space="preserve">Table 3</w:t>
      </w:r>
      <w:r>
        <w:rPr>
          <w:rFonts w:ascii="Arial" w:cs="Arial" w:eastAsia="Arial" w:hAnsi="Arial"/>
          <w:sz w:val="22"/>
          <w:szCs w:val="22"/>
        </w:rPr>
        <w:t xml:space="preserve">. Cohort B — events, age-adjusted Cox hazard ratios (95% confidence intervals), and p-values for lesion recurrence and high-risk HPV reinfection. Source: `Data/final_matched_summary.csv` and Cox results from `scripts/analyze_cohort.py`.</w:t>
      </w:r>
    </w:p>
    <w:p>
      <w:pPr>
        <w:spacing w:after="120" w:before="240" w:line="480"/>
      </w:pPr>
      <w:r>
        <w:rPr>
          <w:rFonts w:ascii="Arial" w:cs="Arial" w:eastAsia="Arial" w:hAnsi="Arial"/>
          <w:b/>
          <w:bCs/>
          <w:i w:val="false"/>
          <w:iCs w:val="false"/>
          <w:sz w:val="22"/>
          <w:szCs w:val="22"/>
        </w:rPr>
        <w:t xml:space="preserve">Supplementary materials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Supplementary Figure S1</w:t>
      </w:r>
      <w:r>
        <w:rPr>
          <w:rFonts w:ascii="Arial" w:cs="Arial" w:eastAsia="Arial" w:hAnsi="Arial"/>
          <w:sz w:val="22"/>
          <w:szCs w:val="22"/>
        </w:rPr>
        <w:t xml:space="preserve">. Love plot for Cohort A propensity score matching. File: `Data/cohort_a_psm_loveplot.png`.
- </w:t>
      </w:r>
      <w:r>
        <w:rPr>
          <w:rFonts w:ascii="Arial" w:cs="Arial" w:eastAsia="Arial" w:hAnsi="Arial"/>
          <w:b/>
          <w:bCs/>
          <w:sz w:val="22"/>
          <w:szCs w:val="22"/>
        </w:rPr>
        <w:t xml:space="preserve">Supplementary Figure S2</w:t>
      </w:r>
      <w:r>
        <w:rPr>
          <w:rFonts w:ascii="Arial" w:cs="Arial" w:eastAsia="Arial" w:hAnsi="Arial"/>
          <w:sz w:val="22"/>
          <w:szCs w:val="22"/>
        </w:rPr>
        <w:t xml:space="preserve">. Love plot for Cohort B fine matching. File: `Data/love_plot.png`.
- </w:t>
      </w:r>
      <w:r>
        <w:rPr>
          <w:rFonts w:ascii="Arial" w:cs="Arial" w:eastAsia="Arial" w:hAnsi="Arial"/>
          <w:b/>
          <w:bCs/>
          <w:sz w:val="22"/>
          <w:szCs w:val="22"/>
        </w:rPr>
        <w:t xml:space="preserve">Supplementary Figure S3</w:t>
      </w:r>
      <w:r>
        <w:rPr>
          <w:rFonts w:ascii="Arial" w:cs="Arial" w:eastAsia="Arial" w:hAnsi="Arial"/>
          <w:sz w:val="22"/>
          <w:szCs w:val="22"/>
        </w:rPr>
        <w:t xml:space="preserve">. Propensity-score density distributions, before and after matching. File: `Data/SupFigS3_ps_density.png`.
- </w:t>
      </w:r>
      <w:r>
        <w:rPr>
          <w:rFonts w:ascii="Arial" w:cs="Arial" w:eastAsia="Arial" w:hAnsi="Arial"/>
          <w:b/>
          <w:bCs/>
          <w:sz w:val="22"/>
          <w:szCs w:val="22"/>
        </w:rPr>
        <w:t xml:space="preserve">Supplementary Figure S4</w:t>
      </w:r>
      <w:r>
        <w:rPr>
          <w:rFonts w:ascii="Arial" w:cs="Arial" w:eastAsia="Arial" w:hAnsi="Arial"/>
          <w:sz w:val="22"/>
          <w:szCs w:val="22"/>
        </w:rPr>
        <w:t xml:space="preserve">. Subgroup forest plot by age strata for Cohort B. File: `Data/figure3_subgroup_km.png`.
- </w:t>
      </w:r>
      <w:r>
        <w:rPr>
          <w:rFonts w:ascii="Arial" w:cs="Arial" w:eastAsia="Arial" w:hAnsi="Arial"/>
          <w:b/>
          <w:bCs/>
          <w:sz w:val="22"/>
          <w:szCs w:val="22"/>
        </w:rPr>
        <w:t xml:space="preserve">Supplementary Figure S5</w:t>
      </w:r>
      <w:r>
        <w:rPr>
          <w:rFonts w:ascii="Arial" w:cs="Arial" w:eastAsia="Arial" w:hAnsi="Arial"/>
          <w:sz w:val="22"/>
          <w:szCs w:val="22"/>
        </w:rPr>
        <w:t xml:space="preserve">. Schoenfeld residual plots for Cohort A primary models (Any-of-5, Diabetes). Files: `Data/PH_check_A_*.png`.
- </w:t>
      </w:r>
      <w:r>
        <w:rPr>
          <w:rFonts w:ascii="Arial" w:cs="Arial" w:eastAsia="Arial" w:hAnsi="Arial"/>
          <w:b/>
          <w:bCs/>
          <w:sz w:val="22"/>
          <w:szCs w:val="22"/>
        </w:rPr>
        <w:t xml:space="preserve">Supplementary Figure S6</w:t>
      </w:r>
      <w:r>
        <w:rPr>
          <w:rFonts w:ascii="Arial" w:cs="Arial" w:eastAsia="Arial" w:hAnsi="Arial"/>
          <w:sz w:val="22"/>
          <w:szCs w:val="22"/>
        </w:rPr>
        <w:t xml:space="preserve">. Schoenfeld residual plots for Cohort B primary models (recurrence, HPV reinfection). Files: `Data/PH_check_B_*.png`.
- </w:t>
      </w:r>
      <w:r>
        <w:rPr>
          <w:rFonts w:ascii="Arial" w:cs="Arial" w:eastAsia="Arial" w:hAnsi="Arial"/>
          <w:b/>
          <w:bCs/>
          <w:sz w:val="22"/>
          <w:szCs w:val="22"/>
        </w:rPr>
        <w:t xml:space="preserve">Supplementary Table S1</w:t>
      </w:r>
      <w:r>
        <w:rPr>
          <w:rFonts w:ascii="Arial" w:cs="Arial" w:eastAsia="Arial" w:hAnsi="Arial"/>
          <w:sz w:val="22"/>
          <w:szCs w:val="22"/>
        </w:rPr>
        <w:t xml:space="preserve">. Pre-matching baseline characteristics with the same variable list as Table 1. File: `Data/Table1_BaselineCharacteristics_unified.docx` (pre-matching blocks).
- </w:t>
      </w:r>
      <w:r>
        <w:rPr>
          <w:rFonts w:ascii="Arial" w:cs="Arial" w:eastAsia="Arial" w:hAnsi="Arial"/>
          <w:b/>
          <w:bCs/>
          <w:sz w:val="22"/>
          <w:szCs w:val="22"/>
        </w:rPr>
        <w:t xml:space="preserve">Supplementary Table S2</w:t>
      </w:r>
      <w:r>
        <w:rPr>
          <w:rFonts w:ascii="Arial" w:cs="Arial" w:eastAsia="Arial" w:hAnsi="Arial"/>
          <w:sz w:val="22"/>
          <w:szCs w:val="22"/>
        </w:rPr>
        <w:t xml:space="preserve">. Propensity score model coefficients (logistic regression) for Cohort A. File: `Data/SupTableS2_ps_coefficients.docx`.
- </w:t>
      </w:r>
      <w:r>
        <w:rPr>
          <w:rFonts w:ascii="Arial" w:cs="Arial" w:eastAsia="Arial" w:hAnsi="Arial"/>
          <w:b/>
          <w:bCs/>
          <w:sz w:val="22"/>
          <w:szCs w:val="22"/>
        </w:rPr>
        <w:t xml:space="preserve">Supplementary Table S3</w:t>
      </w:r>
      <w:r>
        <w:rPr>
          <w:rFonts w:ascii="Arial" w:cs="Arial" w:eastAsia="Arial" w:hAnsi="Arial"/>
          <w:sz w:val="22"/>
          <w:szCs w:val="22"/>
        </w:rPr>
        <w:t xml:space="preserve">. Sensitivity analyses for Cohort B (restricted follow-up; adjusted vs. unadjusted). File: `Data/sensitivity_analysis_results.csv`.
- </w:t>
      </w:r>
      <w:r>
        <w:rPr>
          <w:rFonts w:ascii="Arial" w:cs="Arial" w:eastAsia="Arial" w:hAnsi="Arial"/>
          <w:b/>
          <w:bCs/>
          <w:sz w:val="22"/>
          <w:szCs w:val="22"/>
        </w:rPr>
        <w:t xml:space="preserve">Supplementary Table S4</w:t>
      </w:r>
      <w:r>
        <w:rPr>
          <w:rFonts w:ascii="Arial" w:cs="Arial" w:eastAsia="Arial" w:hAnsi="Arial"/>
          <w:sz w:val="22"/>
          <w:szCs w:val="22"/>
        </w:rPr>
        <w:t xml:space="preserve">. Age- and follow-up-window-stratified subgroup analyses for Cohort B (recurrence). File: `Data/subgroup_analysis_comprehensive.csv`.
- </w:t>
      </w:r>
      <w:r>
        <w:rPr>
          <w:rFonts w:ascii="Arial" w:cs="Arial" w:eastAsia="Arial" w:hAnsi="Arial"/>
          <w:b/>
          <w:bCs/>
          <w:sz w:val="22"/>
          <w:szCs w:val="22"/>
        </w:rPr>
        <w:t xml:space="preserve">Supplementary Table S5</w:t>
      </w:r>
      <w:r>
        <w:rPr>
          <w:rFonts w:ascii="Arial" w:cs="Arial" w:eastAsia="Arial" w:hAnsi="Arial"/>
          <w:sz w:val="22"/>
          <w:szCs w:val="22"/>
        </w:rPr>
        <w:t xml:space="preserve">. Number-at-risk tables for Kaplan–Meier and Aalen–Johansen curves. File: `Data/SupTableS5_number_at_risk.docx`.
- </w:t>
      </w:r>
      <w:r>
        <w:rPr>
          <w:rFonts w:ascii="Arial" w:cs="Arial" w:eastAsia="Arial" w:hAnsi="Arial"/>
          <w:b/>
          <w:bCs/>
          <w:sz w:val="22"/>
          <w:szCs w:val="22"/>
        </w:rPr>
        <w:t xml:space="preserve">Supplementary Table S6</w:t>
      </w:r>
      <w:r>
        <w:rPr>
          <w:rFonts w:ascii="Arial" w:cs="Arial" w:eastAsia="Arial" w:hAnsi="Arial"/>
          <w:sz w:val="22"/>
          <w:szCs w:val="22"/>
        </w:rPr>
        <w:t xml:space="preserve">. Per-vaccine-type detailed results — both pairwise subgroup HRs and single-model interaction-derived HRs with the LRT for vaccine-type heterogeneity. Files: `Data/vaccine_type_analysis.csv`, `Data/CohortB_vaccine_interaction.csv`.
- </w:t>
      </w:r>
      <w:r>
        <w:rPr>
          <w:rFonts w:ascii="Arial" w:cs="Arial" w:eastAsia="Arial" w:hAnsi="Arial"/>
          <w:b/>
          <w:bCs/>
          <w:sz w:val="22"/>
          <w:szCs w:val="22"/>
        </w:rPr>
        <w:t xml:space="preserve">Supplementary Table S7</w:t>
      </w:r>
      <w:r>
        <w:rPr>
          <w:rFonts w:ascii="Arial" w:cs="Arial" w:eastAsia="Arial" w:hAnsi="Arial"/>
          <w:sz w:val="22"/>
          <w:szCs w:val="22"/>
        </w:rPr>
        <w:t xml:space="preserve">. Cluster-robust hazard ratios with person-years, incidence rates, and Schoenfeld residual p-values for both cohorts. File: `Data/Methodology_Revisions.docx` (Tables R1–R2).
- </w:t>
      </w:r>
      <w:r>
        <w:rPr>
          <w:rFonts w:ascii="Arial" w:cs="Arial" w:eastAsia="Arial" w:hAnsi="Arial"/>
          <w:b/>
          <w:bCs/>
          <w:sz w:val="22"/>
          <w:szCs w:val="22"/>
        </w:rPr>
        <w:t xml:space="preserve">Supplementary Table S8</w:t>
      </w:r>
      <w:r>
        <w:rPr>
          <w:rFonts w:ascii="Arial" w:cs="Arial" w:eastAsia="Arial" w:hAnsi="Arial"/>
          <w:sz w:val="22"/>
          <w:szCs w:val="22"/>
        </w:rPr>
        <w:t xml:space="preserve">. Pseudo-index assignment sensitivity analysis for Cohort A (Any-of-five). File: `Data/CohortA_pseudoindex_sensitivity.csv`.</w:t>
      </w:r>
    </w:p>
    <w:p>
      <w:pPr>
        <w:spacing w:after="120" w:before="240" w:line="480"/>
      </w:pPr>
      <w:r>
        <w:rPr>
          <w:rFonts w:ascii="Arial" w:cs="Arial" w:eastAsia="Arial" w:hAnsi="Arial"/>
          <w:b/>
          <w:bCs/>
          <w:i w:val="false"/>
          <w:iCs w:val="false"/>
          <w:sz w:val="22"/>
          <w:szCs w:val="22"/>
        </w:rPr>
        <w:t xml:space="preserve">Recommended graphical abstract</w:t>
      </w:r>
    </w:p>
    <w:p>
      <w:pPr>
        <w:spacing w:after="0" w:line="480"/>
        <w:ind/>
        <w:jc w:val="both"/>
      </w:pPr>
      <w:r>
        <w:rPr>
          <w:rFonts w:ascii="Arial" w:cs="Arial" w:eastAsia="Arial" w:hAnsi="Arial"/>
          <w:sz w:val="22"/>
          <w:szCs w:val="22"/>
        </w:rPr>
        <w:t xml:space="preserve">A landscape (1200 × 600 px) graphical abstract is recommended with three panels:
(i) Source cohort silhouette ("Korean HPV cohort, N = 32,969") branching into Cohort A (n = 4,102) and Cohort B (n = 1,108);
(ii) Cohort A icon (heart + brain + lung representing MCE; pancreas + kidney representing HTN/DM) labelled "No association with chronic disease incidence (HR 1.26, 95% CI 0.75–2.12 for Any-of-5)";
(iii) Cohort B icon (cervix + scalpel + needle) labelled "Post-surgical efficacy: no overall benefit; quadrivalent vaccine reduced HPV reinfection (HR 0.49, interaction LRT p = 0.037)".</w:t>
      </w:r>
    </w:p>
    <w:p>
      <w:pPr>
        <w:spacing w:after="0" w:line="480"/>
        <w:ind w:firstLine="800"/>
        <w:jc w:val="both"/>
      </w:pPr>
      <w:r>
        <w:rPr>
          <w:rFonts w:ascii="Arial" w:cs="Arial" w:eastAsia="Arial" w:hAnsi="Arial"/>
          <w:sz w:val="22"/>
          <w:szCs w:val="22"/>
        </w:rPr>
        <w:t xml:space="preserve">This abstract can be produced via the scientific-schematics skill once the manuscript text is finalised.</w:t>
      </w:r>
    </w:p>
    <w:p>
      <w:pPr>
        <w:pageBreakBefore/>
        <w:spacing w:after="200" w:line="360"/>
        <w:jc w:val="left"/>
      </w:pPr>
      <w:r>
        <w:rPr>
          <w:rFonts w:ascii="Arial" w:cs="Arial" w:eastAsia="Arial" w:hAnsi="Arial"/>
          <w:b/>
          <w:bCs/>
          <w:sz w:val="28"/>
          <w:szCs w:val="28"/>
        </w:rPr>
        <w:t xml:space="preserve">Discussion (outline)</w:t>
      </w:r>
    </w:p>
    <w:p>
      <w:pPr>
        <w:spacing w:after="0" w:line="480"/>
        <w:ind/>
        <w:jc w:val="both"/>
      </w:pPr>
      <w:r>
        <w:rPr>
          <w:rFonts w:ascii="Arial" w:cs="Arial" w:eastAsia="Arial" w:hAnsi="Arial"/>
          <w:sz w:val="22"/>
          <w:szCs w:val="22"/>
        </w:rPr>
        <w:t xml:space="preserve">(to be expanded)</w:t>
      </w:r>
    </w:p>
    <w:p>
      <w:pPr>
        <w:spacing w:after="0" w:line="480"/>
        <w:ind w:firstLine="800"/>
        <w:jc w:val="both"/>
      </w:pPr>
      <w:r>
        <w:rPr>
          <w:rFonts w:ascii="Arial" w:cs="Arial" w:eastAsia="Arial" w:hAnsi="Arial"/>
          <w:sz w:val="22"/>
          <w:szCs w:val="22"/>
        </w:rPr>
        <w:t xml:space="preserve">The main findings can be framed around three observations: (i) the absence of any safety signal for major chronic disease over a median follow-up of approximately six years, including the broad Any-of-5 composite; (ii) the absence of an overall protective effect of post-surgical vaccination on lesion recurrence and HPV reinfection in this cohort; and (iii) the outcome- and product-specific signal for the quadrivalent product on HPV reinfection, supported by a formal interaction-test for vaccine-type heterogeneity (likelihood-ratio p = 0.037). These should be situated against the FUTURE I/II trial program, which established prophylactic vaccine efficacy in HPV-naïve women, and against meta-analyses of post-surgical vaccination (Joura et al., Bonde et al., Velentzis et al.) that have yielded inconsistent results, particularly for non-quadrivalent products. The mechanism of the apparent quadrivalent-specific reinfection signal warrants discussion in light of cross-protection profiles and timing of administration relative to surgery.</w:t>
      </w:r>
    </w:p>
    <w:p>
      <w:pPr>
        <w:spacing w:after="0" w:line="480"/>
        <w:ind w:firstLine="800"/>
        <w:jc w:val="both"/>
      </w:pPr>
      <w:r>
        <w:rPr>
          <w:rFonts w:ascii="Arial" w:cs="Arial" w:eastAsia="Arial" w:hAnsi="Arial"/>
          <w:sz w:val="22"/>
          <w:szCs w:val="22"/>
        </w:rPr>
        <w:t xml:space="preserve">Limitations to be acknowledged include the single-centre design, the modest absolute number of cardiovascular events (limiting power for the MCE composite), the dependence of HPV reinfection ascertainment on opportunistic testing, the absence of granular data on socioeconomic status, sexual behaviour, and partner vaccination, and the residual potential for unmeasured confounding despite propensity score and fine matching. Several methodological caveats also merit explicit mention. First, the pseudo-index assignment used to anchor follow-up time for unvaccinated controls in Cohort A is not unique; we therefore conducted a sensitivity analysis comparing three reasonable strategies and observed concordant results. Second, the original 1:4 fine-matched Cohort B subgroup analysis by vaccine type reused non-vaccinated controls across pairwise comparisons; we addressed this by re-formulating the analysis as a single Cox model with vaccine-type × vaccination interaction terms and a likelihood-ratio test, which appropriately accounts for the dependence among controls and continues to support a Gardasil-specific signal for HPV reinfection. Third, with only two pre-specified primary outcomes in Cohort B we report Bonferroni-adjusted p-values and 97.5% confidence intervals; the subgroup and interaction findings are explicitly framed as hypothesis-generating. The combination of a long-followed prospective cohort with retrospective CDW augmentation is, however,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sectPr>
      <w:headerReference w:type="default" r:id="rId7"/>
      <w:footerReference w:type="default" r:id="rId8"/>
      <w:pgSz w:w="11906" w:h="16838" w:orient="portrait"/>
      <w:pgMar w:top="1440" w:right="1440" w:bottom="1440" w:left="1440" w:header="708" w:footer="708" w:gutter="0"/>
      <w:lnNumType w:countBy="1" w:restart="newPage"/>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HPV vaccination safety and post-surgical efficacy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2026-04-30T14:16:49.646Z</dcterms:created>
  <dcterms:modified xsi:type="dcterms:W3CDTF">2026-04-30T14:16:49.646Z</dcterms:modified>
</cp:coreProperties>
</file>

<file path=docProps/custom.xml><?xml version="1.0" encoding="utf-8"?>
<Properties xmlns="http://schemas.openxmlformats.org/officeDocument/2006/custom-properties" xmlns:vt="http://schemas.openxmlformats.org/officeDocument/2006/docPropsVTypes"/>
</file>