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D804" w14:textId="77777777" w:rsidR="003F3F6D" w:rsidRDefault="00000000">
      <w:pPr>
        <w:spacing w:after="200"/>
        <w:jc w:val="center"/>
      </w:pPr>
      <w:r>
        <w:rPr>
          <w:rFonts w:eastAsia="Arial"/>
          <w:b/>
          <w:bCs/>
          <w:sz w:val="28"/>
          <w:szCs w:val="28"/>
        </w:rPr>
        <w:t>Long-term safety and post-surgical efficacy of HPV vaccination in women with cervical intraepithelial lesions: a prospective–retrospective cohort study using Korean clinical data warehouse</w:t>
      </w:r>
    </w:p>
    <w:p w14:paraId="7AFBDC84" w14:textId="77777777" w:rsidR="003F3F6D" w:rsidRDefault="003F3F6D"/>
    <w:p w14:paraId="2B47A88B" w14:textId="325AB6EE" w:rsidR="003F3F6D" w:rsidRDefault="00DE5C8B">
      <w:pPr>
        <w:jc w:val="both"/>
      </w:pPr>
      <w:r>
        <w:rPr>
          <w:rFonts w:eastAsia="Arial"/>
          <w:i/>
          <w:iCs/>
        </w:rPr>
        <w:t xml:space="preserve">Junseok Kim, Suein Choi </w:t>
      </w:r>
      <w:r w:rsidR="00000000">
        <w:rPr>
          <w:rFonts w:eastAsia="Arial"/>
          <w:i/>
          <w:iCs/>
        </w:rPr>
        <w:t>[Author names to be inserted]</w:t>
      </w:r>
    </w:p>
    <w:p w14:paraId="7719A83F" w14:textId="77777777" w:rsidR="003F3F6D" w:rsidRDefault="003F3F6D"/>
    <w:p w14:paraId="2E586B3B" w14:textId="77777777" w:rsidR="003F3F6D" w:rsidRDefault="00000000">
      <w:pPr>
        <w:jc w:val="both"/>
      </w:pPr>
      <w:r>
        <w:rPr>
          <w:rFonts w:eastAsia="Arial"/>
          <w:i/>
          <w:iCs/>
        </w:rPr>
        <w:t>[Affiliations to be inserted]</w:t>
      </w:r>
    </w:p>
    <w:p w14:paraId="1116711B" w14:textId="77777777" w:rsidR="003F3F6D" w:rsidRDefault="003F3F6D"/>
    <w:p w14:paraId="24FDD4E7" w14:textId="77777777" w:rsidR="003F3F6D" w:rsidRDefault="003F3F6D"/>
    <w:p w14:paraId="38DD6F52" w14:textId="77777777" w:rsidR="003F3F6D" w:rsidRDefault="00000000">
      <w:pPr>
        <w:jc w:val="both"/>
      </w:pPr>
      <w:r>
        <w:rPr>
          <w:rFonts w:eastAsia="Arial"/>
          <w:b/>
          <w:bCs/>
        </w:rPr>
        <w:t xml:space="preserve">Corresponding author: </w:t>
      </w:r>
      <w:r>
        <w:rPr>
          <w:rFonts w:eastAsia="Arial"/>
          <w:i/>
          <w:iCs/>
        </w:rPr>
        <w:t>[Name, address, email to be inserted]</w:t>
      </w:r>
    </w:p>
    <w:p w14:paraId="2204689E" w14:textId="77777777" w:rsidR="003F3F6D" w:rsidRDefault="003F3F6D"/>
    <w:p w14:paraId="1E2E4859" w14:textId="77777777" w:rsidR="003F3F6D" w:rsidRDefault="00000000">
      <w:pPr>
        <w:jc w:val="both"/>
      </w:pPr>
      <w:r>
        <w:rPr>
          <w:rFonts w:eastAsia="Arial"/>
          <w:b/>
          <w:bCs/>
        </w:rPr>
        <w:t xml:space="preserve">Word count: </w:t>
      </w:r>
      <w:r>
        <w:rPr>
          <w:rFonts w:eastAsia="Arial"/>
          <w:i/>
          <w:iCs/>
        </w:rPr>
        <w:t>[to be inserted]</w:t>
      </w:r>
    </w:p>
    <w:p w14:paraId="709A34BA" w14:textId="77777777" w:rsidR="003F3F6D" w:rsidRDefault="003F3F6D"/>
    <w:p w14:paraId="66E5BED3" w14:textId="77777777" w:rsidR="003F3F6D" w:rsidRDefault="00000000">
      <w:pPr>
        <w:jc w:val="both"/>
      </w:pPr>
      <w:r>
        <w:rPr>
          <w:rFonts w:eastAsia="Arial"/>
          <w:b/>
          <w:bCs/>
        </w:rPr>
        <w:t xml:space="preserve">Running title: </w:t>
      </w:r>
      <w:r>
        <w:rPr>
          <w:rFonts w:eastAsia="Arial"/>
        </w:rPr>
        <w:t>HPV vaccination safety and post-surgical efficacy</w:t>
      </w:r>
    </w:p>
    <w:p w14:paraId="16D69D37" w14:textId="77777777" w:rsidR="003F3F6D" w:rsidRDefault="003F3F6D">
      <w:pPr>
        <w:sectPr w:rsidR="003F3F6D">
          <w:pgSz w:w="11906" w:h="16838"/>
          <w:pgMar w:top="1440" w:right="1440" w:bottom="1440" w:left="1440" w:header="708" w:footer="708" w:gutter="0"/>
          <w:cols w:space="720"/>
          <w:docGrid w:linePitch="360"/>
        </w:sectPr>
      </w:pPr>
    </w:p>
    <w:p w14:paraId="425A046C" w14:textId="77777777" w:rsidR="003F3F6D" w:rsidRDefault="00000000">
      <w:pPr>
        <w:pageBreakBefore/>
        <w:spacing w:after="200" w:line="360" w:lineRule="auto"/>
      </w:pPr>
      <w:bookmarkStart w:id="0" w:name="_Hlk228488833"/>
      <w:r>
        <w:rPr>
          <w:rFonts w:eastAsia="Arial"/>
          <w:b/>
          <w:bCs/>
          <w:sz w:val="28"/>
          <w:szCs w:val="28"/>
        </w:rPr>
        <w:lastRenderedPageBreak/>
        <w:t>Abstract</w:t>
      </w:r>
    </w:p>
    <w:bookmarkEnd w:id="0"/>
    <w:p w14:paraId="4D429732" w14:textId="3C7145EF" w:rsidR="003F3F6D" w:rsidRDefault="000934E0">
      <w:r>
        <w:t xml:space="preserve">Whether human papillomavirus (HPV) vaccination is safe long-term and whether it prevents recurrence after cervical surgery remain uncertain. From a single-institution Korean HPV cohort (N = 32,969) with clinical-data-warehouse extraction through 2025, we derived two analytic cohorts. Cohort A (n = 4,102; 1:1 </w:t>
      </w:r>
      <w:r w:rsidR="00F953F7">
        <w:t>PS</w:t>
      </w:r>
      <w:r>
        <w:t xml:space="preserve"> matched) assessed chronic-disease safety; Cohort B (n = 1,108; 241 vaccinated, 867 matched controls after surgery for high-grade squamous intraepithelial lesion [HSIL]/cervical intraepithelial neoplasia grade 3 [CIN3]+) assessed post-surgical efficacy. All post-matching standardised mean differences were below 0.10. In Cohort A, vaccination was not associated with chronic-disease incidence (Any-of-five hazard ratio 1.26, 95% confidence interval 0.75–2.12). In Cohort B, no overall reduction was observed in lesion recurrence (hazard ratio 0.76, 95% CI 0.43–1.33, p = 0.34) or HPV reinfection (hazard ratio 0.97, 95% CI 0.83–1.14, p = 0.71). A likelihood-ratio interaction test indicated heterogeneity across vaccine types for HPV reinfection (p = 0.037), with a protective signal for the quadrivalent vaccine (hazard ratio 0.49, 95% CI 0.26–0.93). Over a median follow-up of approximately five years, HPV vaccination did not increase chronic-disease risk and may confer subgroup-specific benefit.</w:t>
      </w:r>
    </w:p>
    <w:p w14:paraId="25947E06" w14:textId="77777777" w:rsidR="000934E0" w:rsidRDefault="000934E0"/>
    <w:p w14:paraId="0EAF32DB" w14:textId="77777777" w:rsidR="003F3F6D" w:rsidRDefault="00000000">
      <w:pPr>
        <w:jc w:val="both"/>
      </w:pPr>
      <w:r>
        <w:rPr>
          <w:rFonts w:eastAsia="Arial"/>
          <w:b/>
          <w:bCs/>
        </w:rPr>
        <w:t xml:space="preserve">Keywords: </w:t>
      </w:r>
      <w:r>
        <w:rPr>
          <w:rFonts w:eastAsia="Arial"/>
        </w:rPr>
        <w:t>human papillomavirus vaccine, cervical intraepithelial neoplasia, conization, propensity score matching, competing risks, real-world evidence, cohort study</w:t>
      </w:r>
    </w:p>
    <w:p w14:paraId="723EBF4B" w14:textId="77777777" w:rsidR="003F3F6D" w:rsidRDefault="00000000">
      <w:pPr>
        <w:pageBreakBefore/>
        <w:spacing w:after="200" w:line="360" w:lineRule="auto"/>
      </w:pPr>
      <w:r>
        <w:rPr>
          <w:rFonts w:eastAsia="Arial"/>
          <w:b/>
          <w:bCs/>
          <w:sz w:val="28"/>
          <w:szCs w:val="28"/>
        </w:rPr>
        <w:lastRenderedPageBreak/>
        <w:t>Methods</w:t>
      </w:r>
    </w:p>
    <w:p w14:paraId="6C3D81E0" w14:textId="77777777" w:rsidR="003F3F6D" w:rsidRPr="00633816" w:rsidRDefault="00000000">
      <w:pPr>
        <w:spacing w:before="240" w:after="120"/>
        <w:rPr>
          <w:i/>
          <w:iCs/>
        </w:rPr>
      </w:pPr>
      <w:r w:rsidRPr="00633816">
        <w:rPr>
          <w:rFonts w:eastAsia="Arial"/>
          <w:b/>
          <w:bCs/>
          <w:i/>
          <w:iCs/>
        </w:rPr>
        <w:t>Study design and data source</w:t>
      </w:r>
    </w:p>
    <w:p w14:paraId="0EAC624B" w14:textId="77777777" w:rsidR="003F3F6D" w:rsidRDefault="00000000" w:rsidP="00633816">
      <w:pPr>
        <w:ind w:firstLine="720"/>
        <w:jc w:val="both"/>
      </w:pPr>
      <w:r>
        <w:rPr>
          <w:rFonts w:eastAsia="Arial"/>
        </w:rPr>
        <w:t xml:space="preserve">This is a single-centre observational cohort study that augments a prospectively maintained Korean HPV cervical-screening cohort with retrospective extraction from the institution's clinical data warehouse (CDW). </w:t>
      </w:r>
      <w:commentRangeStart w:id="1"/>
      <w:r>
        <w:rPr>
          <w:rFonts w:eastAsia="Arial"/>
        </w:rPr>
        <w:t xml:space="preserve">Women were enrolled at the time of an index cervical evaluation between 2009 and 2024 and followed prospectively for cytology, histology, and HPV testing. Beginning in 2024, the CDW was queried to retrieve all linked diagnostic codes, surgical and pharmacy records, vital signs, anthropometric measurements, and laboratory values up to 31 December 2025, providing long-term outcome ascertainment beyond the original prospective protocol. </w:t>
      </w:r>
      <w:commentRangeEnd w:id="1"/>
      <w:r w:rsidR="00633816">
        <w:rPr>
          <w:rStyle w:val="CommentReference"/>
          <w:rFonts w:eastAsia="Arial"/>
          <w:sz w:val="22"/>
          <w:szCs w:val="22"/>
        </w:rPr>
        <w:commentReference w:id="1"/>
      </w:r>
      <w:r>
        <w:rPr>
          <w:rFonts w:eastAsia="Arial"/>
        </w:rPr>
        <w:t>Reporting follows the Strengthening the Reporting of Observational Studies in Epidemiology (STROBE) checklist for cohort studies. The institutional review board approved the protocol with a waiver of informed consent for the retrospective component (</w:t>
      </w:r>
      <w:commentRangeStart w:id="2"/>
      <w:r>
        <w:rPr>
          <w:rFonts w:eastAsia="Arial"/>
        </w:rPr>
        <w:t>IRB number to be inserted</w:t>
      </w:r>
      <w:commentRangeEnd w:id="2"/>
      <w:r w:rsidR="00633816">
        <w:rPr>
          <w:rStyle w:val="CommentReference"/>
          <w:rFonts w:eastAsia="Arial"/>
          <w:sz w:val="22"/>
          <w:szCs w:val="22"/>
        </w:rPr>
        <w:commentReference w:id="2"/>
      </w:r>
      <w:r>
        <w:rPr>
          <w:rFonts w:eastAsia="Arial"/>
        </w:rPr>
        <w:t>).</w:t>
      </w:r>
    </w:p>
    <w:p w14:paraId="4F0C0ECD" w14:textId="77777777" w:rsidR="000934E0" w:rsidRDefault="000934E0">
      <w:pPr>
        <w:spacing w:before="240" w:after="120"/>
        <w:rPr>
          <w:rFonts w:eastAsia="Arial"/>
          <w:b/>
          <w:bCs/>
          <w:i/>
          <w:iCs/>
        </w:rPr>
      </w:pPr>
    </w:p>
    <w:p w14:paraId="06438ABA" w14:textId="5AF04821" w:rsidR="003F3F6D" w:rsidRPr="00633816" w:rsidRDefault="00000000">
      <w:pPr>
        <w:spacing w:before="240" w:after="120"/>
        <w:rPr>
          <w:i/>
          <w:iCs/>
        </w:rPr>
      </w:pPr>
      <w:r w:rsidRPr="00633816">
        <w:rPr>
          <w:rFonts w:eastAsia="Arial"/>
          <w:b/>
          <w:bCs/>
          <w:i/>
          <w:iCs/>
        </w:rPr>
        <w:t>Source population</w:t>
      </w:r>
    </w:p>
    <w:p w14:paraId="682DACE0" w14:textId="3ECF0AEB" w:rsidR="003F3F6D" w:rsidRDefault="00000000" w:rsidP="00633816">
      <w:pPr>
        <w:ind w:firstLine="720"/>
        <w:jc w:val="both"/>
      </w:pPr>
      <w:r>
        <w:rPr>
          <w:rFonts w:eastAsia="Arial"/>
        </w:rPr>
        <w:t>The source cohort comprised 32,969 women with at least one cervical-related diagnostic, laboratory, or procedural record. Vital status, last follow-up date, residence, and demographic characteristics were available for all individuals. Five clinically relevant chronic conditions—angina pectoris and myocardial infarction (</w:t>
      </w:r>
      <w:commentRangeStart w:id="3"/>
      <w:r>
        <w:rPr>
          <w:rFonts w:eastAsia="Arial"/>
        </w:rPr>
        <w:t>hereafter Angina/MI; International Classification of Diseases, 10th Revision [ICD-10] I20–I25), hypertension (I10–I15), diabetes mellitus (E11–E14), cerebrovascular events including ischaemic and haemorrhagic stroke (I60–I69), and pulmonary embolism (I26)—</w:t>
      </w:r>
      <w:commentRangeEnd w:id="3"/>
      <w:r w:rsidR="000934E0">
        <w:rPr>
          <w:rStyle w:val="CommentReference"/>
          <w:rFonts w:eastAsia="Arial"/>
          <w:sz w:val="22"/>
          <w:szCs w:val="22"/>
        </w:rPr>
        <w:commentReference w:id="3"/>
      </w:r>
      <w:r>
        <w:rPr>
          <w:rFonts w:eastAsia="Arial"/>
        </w:rPr>
        <w:t>had been pre-classified using a curated diagnosis-label scheme; this categorisation was used in subsequent analyses without modification.</w:t>
      </w:r>
    </w:p>
    <w:p w14:paraId="2E4EEE80" w14:textId="77777777" w:rsidR="000934E0" w:rsidRDefault="000934E0">
      <w:pPr>
        <w:spacing w:before="240" w:after="120"/>
        <w:rPr>
          <w:rFonts w:eastAsia="Arial"/>
          <w:b/>
          <w:bCs/>
          <w:i/>
          <w:iCs/>
        </w:rPr>
      </w:pPr>
    </w:p>
    <w:p w14:paraId="3B4E0D21" w14:textId="3C9EAC90" w:rsidR="003F3F6D" w:rsidRPr="00633816" w:rsidRDefault="00000000">
      <w:pPr>
        <w:spacing w:before="240" w:after="120"/>
        <w:rPr>
          <w:i/>
          <w:iCs/>
        </w:rPr>
      </w:pPr>
      <w:r w:rsidRPr="00633816">
        <w:rPr>
          <w:rFonts w:eastAsia="Arial"/>
          <w:b/>
          <w:bCs/>
          <w:i/>
          <w:iCs/>
        </w:rPr>
        <w:t>Exposure</w:t>
      </w:r>
    </w:p>
    <w:p w14:paraId="3C5A7937" w14:textId="3AD3861D" w:rsidR="003F3F6D" w:rsidRDefault="00000000" w:rsidP="00633816">
      <w:pPr>
        <w:ind w:firstLine="720"/>
        <w:jc w:val="both"/>
      </w:pPr>
      <w:r>
        <w:rPr>
          <w:rFonts w:eastAsia="Arial"/>
        </w:rPr>
        <w:lastRenderedPageBreak/>
        <w:t>HPV vaccination status was determined from the prescription file using a keyword search for the brand names "Gardasil", "Gardasil 9", and "Cervarix"</w:t>
      </w:r>
      <w:r w:rsidR="00633816">
        <w:rPr>
          <w:rFonts w:eastAsia="Arial" w:hint="eastAsia"/>
        </w:rPr>
        <w:t xml:space="preserve">. </w:t>
      </w:r>
      <w:r>
        <w:rPr>
          <w:rFonts w:eastAsia="Arial"/>
        </w:rPr>
        <w:t>Among the 32,969 women in the source population, 2,156 (6.5%) had at least one HPV-vaccine dispensation; of these, 53.1% received the nine-valent product (Gardasil 9), 32.0% the bivalent product (Cervarix), and 14.9% the quadrivalent product (Gardasil). The date of the first dispensation was used as the exposure index date. Women with no vaccine record at any time were classified as unvaccinated.</w:t>
      </w:r>
    </w:p>
    <w:p w14:paraId="1FACBB08" w14:textId="77777777" w:rsidR="000934E0" w:rsidRDefault="000934E0">
      <w:pPr>
        <w:spacing w:before="240" w:after="120"/>
        <w:rPr>
          <w:rFonts w:eastAsia="Arial"/>
          <w:b/>
          <w:bCs/>
          <w:i/>
          <w:iCs/>
        </w:rPr>
      </w:pPr>
    </w:p>
    <w:p w14:paraId="75E8FEBB" w14:textId="0233FE3A" w:rsidR="003F3F6D" w:rsidRPr="00633816" w:rsidRDefault="00633816">
      <w:pPr>
        <w:spacing w:before="240" w:after="120"/>
        <w:rPr>
          <w:i/>
          <w:iCs/>
        </w:rPr>
      </w:pPr>
      <w:r>
        <w:rPr>
          <w:rFonts w:eastAsia="Arial"/>
          <w:b/>
          <w:bCs/>
          <w:i/>
          <w:iCs/>
        </w:rPr>
        <w:t xml:space="preserve">Analytic </w:t>
      </w:r>
      <w:r w:rsidR="00000000" w:rsidRPr="00633816">
        <w:rPr>
          <w:rFonts w:eastAsia="Arial"/>
          <w:b/>
          <w:bCs/>
          <w:i/>
          <w:iCs/>
        </w:rPr>
        <w:t>cohorts</w:t>
      </w:r>
    </w:p>
    <w:p w14:paraId="06813E47" w14:textId="75CD2A75" w:rsidR="003F3F6D" w:rsidRDefault="00000000" w:rsidP="00633816">
      <w:pPr>
        <w:ind w:firstLine="720"/>
        <w:jc w:val="both"/>
      </w:pPr>
      <w:r>
        <w:rPr>
          <w:rFonts w:eastAsia="Arial"/>
        </w:rPr>
        <w:t>To address two complementary research questions, two analytic cohorts were derived from the same source population by applying distinct eligibility and matching procedures</w:t>
      </w:r>
      <w:r w:rsidR="003F17B3">
        <w:rPr>
          <w:rFonts w:eastAsia="Arial"/>
        </w:rPr>
        <w:t xml:space="preserve"> </w:t>
      </w:r>
      <w:r w:rsidR="003F17B3" w:rsidRPr="003F17B3">
        <w:rPr>
          <w:rFonts w:eastAsia="Arial"/>
          <w:b/>
          <w:bCs/>
        </w:rPr>
        <w:t>(Figure 1)</w:t>
      </w:r>
      <w:r w:rsidRPr="003F17B3">
        <w:rPr>
          <w:rFonts w:eastAsia="Arial"/>
          <w:b/>
          <w:bCs/>
        </w:rPr>
        <w:t>.</w:t>
      </w:r>
    </w:p>
    <w:p w14:paraId="273EE477" w14:textId="1754C50B" w:rsidR="003F3F6D" w:rsidRDefault="00000000">
      <w:pPr>
        <w:ind w:firstLine="800"/>
        <w:jc w:val="both"/>
      </w:pPr>
      <w:r>
        <w:rPr>
          <w:rFonts w:eastAsia="Arial"/>
          <w:b/>
          <w:bCs/>
        </w:rPr>
        <w:t>Cohort A</w:t>
      </w:r>
      <w:r>
        <w:rPr>
          <w:rFonts w:eastAsia="Arial"/>
        </w:rPr>
        <w:t xml:space="preserve"> addressed the long-term safety question—whether HPV vaccination is associated with the incidence of major chronic conditions during follow-up—and was constructed from the entire source population. Eligibility required available date of birth, survival until the index date, and at least one day of follow-up thereafter. </w:t>
      </w:r>
      <w:r w:rsidR="00D13844">
        <w:t>Because unvaccinated women lack a natural exposure date, each was assigned a pseudo index date drawn at random from the distribution of first-vaccination dates observed among vaccinated women, ensuring that time-dependent covariates and outcomes were assessed on a comparable calendar scale</w:t>
      </w:r>
      <w:r w:rsidR="00D13844">
        <w:rPr>
          <w:rFonts w:hint="eastAsia"/>
        </w:rPr>
        <w:t>.</w:t>
      </w:r>
      <w:r>
        <w:rPr>
          <w:rFonts w:eastAsia="Arial"/>
        </w:rPr>
        <w:t xml:space="preserve"> Propensity scores for</w:t>
      </w:r>
      <w:r w:rsidR="003F17B3">
        <w:rPr>
          <w:rFonts w:eastAsia="Arial"/>
        </w:rPr>
        <w:t xml:space="preserve"> administration </w:t>
      </w:r>
      <w:r>
        <w:rPr>
          <w:rFonts w:eastAsia="Arial"/>
        </w:rPr>
        <w:t xml:space="preserve">of vaccination were estimated by logistic regression on age at index, body-mass index, systolic and diastolic blood pressure (with mean imputation and missing-value indicators for each), smoking status (never, former, current, or unknown, with unknown as the reference category), and residence in Seoul. </w:t>
      </w:r>
      <w:r w:rsidR="00D13844">
        <w:rPr>
          <w:rFonts w:eastAsia="Arial" w:hint="eastAsia"/>
        </w:rPr>
        <w:t xml:space="preserve">1:1 </w:t>
      </w:r>
      <w:r>
        <w:rPr>
          <w:rFonts w:eastAsia="Arial"/>
        </w:rPr>
        <w:t xml:space="preserve">nearest-neighbour matching on the logit of the propensity score was performed without replacement using a caliper of 0.2 times the </w:t>
      </w:r>
      <w:r w:rsidR="000934E0">
        <w:rPr>
          <w:rFonts w:eastAsia="Arial"/>
        </w:rPr>
        <w:t>SD</w:t>
      </w:r>
      <w:r>
        <w:rPr>
          <w:rFonts w:eastAsia="Arial"/>
        </w:rPr>
        <w:t xml:space="preserve"> of the logit</w:t>
      </w:r>
      <w:r w:rsidR="00D13844">
        <w:rPr>
          <w:rFonts w:eastAsia="Arial" w:hint="eastAsia"/>
        </w:rPr>
        <w:t>.</w:t>
      </w:r>
      <w:r>
        <w:rPr>
          <w:rFonts w:eastAsia="Arial"/>
        </w:rPr>
        <w:t xml:space="preserve"> The final matched Cohort A comprised 2,051 vaccinated and 2,051 unvaccinated women.</w:t>
      </w:r>
    </w:p>
    <w:p w14:paraId="32CF6553" w14:textId="77777777" w:rsidR="003F3F6D" w:rsidRDefault="00000000">
      <w:pPr>
        <w:ind w:firstLine="800"/>
        <w:jc w:val="both"/>
      </w:pPr>
      <w:r>
        <w:rPr>
          <w:rFonts w:eastAsia="Arial"/>
          <w:b/>
          <w:bCs/>
        </w:rPr>
        <w:lastRenderedPageBreak/>
        <w:t>Cohort B</w:t>
      </w:r>
      <w:r>
        <w:rPr>
          <w:rFonts w:eastAsia="Arial"/>
        </w:rPr>
        <w:t xml:space="preserve"> addressed the post-surgical efficacy question and was restricted to the 6,890 women who had undergone cervical conization or hysterectomy for histologically confirmed HSIL/CIN3 or higher disease. Vaccinated and unvaccinated women were matched in two steps. An initial 1:5 match required exact agreement on surgical procedure (conization or hysterectomy) and matching on calendar year of surgery within ±1 year and on age at surgery within ±5 years. Index dates were then assigned: the first vaccination date for vaccinated women, and the surgery date plus the matched vaccinated woman's surgery-to-vaccination interval for unvaccinated controls (the pseudo index date, preserving the immortal-time correspondence between groups). Eligibility required an index date on or before 31 December 2020 to ensure at least five years of potential follow-up, and at least two follow-up records. After this filter, a fine 1:4 match further balanced the groups on age at index, body-mass index nearest the index date, and surgery year. The final Cohort B comprised 241 vaccinated and 867 unvaccinated women.</w:t>
      </w:r>
    </w:p>
    <w:p w14:paraId="034531D7" w14:textId="77777777" w:rsidR="000934E0" w:rsidRDefault="000934E0">
      <w:pPr>
        <w:spacing w:before="240" w:after="120"/>
        <w:rPr>
          <w:rFonts w:eastAsia="Arial"/>
          <w:b/>
          <w:bCs/>
          <w:i/>
          <w:iCs/>
        </w:rPr>
      </w:pPr>
    </w:p>
    <w:p w14:paraId="596EEE8D" w14:textId="2F3AF13B" w:rsidR="003F3F6D" w:rsidRPr="00633816" w:rsidRDefault="00000000">
      <w:pPr>
        <w:spacing w:before="240" w:after="120"/>
        <w:rPr>
          <w:i/>
          <w:iCs/>
        </w:rPr>
      </w:pPr>
      <w:r w:rsidRPr="00633816">
        <w:rPr>
          <w:rFonts w:eastAsia="Arial"/>
          <w:b/>
          <w:bCs/>
          <w:i/>
          <w:iCs/>
        </w:rPr>
        <w:t>Outcome definitions</w:t>
      </w:r>
    </w:p>
    <w:p w14:paraId="0FC2896B" w14:textId="77777777" w:rsidR="003F3F6D" w:rsidRDefault="00000000" w:rsidP="00633816">
      <w:pPr>
        <w:ind w:firstLine="720"/>
        <w:jc w:val="both"/>
      </w:pPr>
      <w:r>
        <w:rPr>
          <w:rFonts w:eastAsia="Arial"/>
        </w:rPr>
        <w:t xml:space="preserve">In Cohort A, the primary outcomes were the first incident occurrence after the index date of each of the five pre-specified chronic conditions, treated separately. We additionally pre-specified two composite endpoints to improve statistical power and to reflect mechanistically related events. Major Cardiovascular Events (MCE) was defined as the first occurrence of myocardial infarction, stroke, or pulmonary embolism—a broader composite than standard major adverse cardiovascular events (MACE) because pulmonary embolism, although venous in origin, shares a thromboembolic mechanism with the included arterial events. The "Any-of-five" endpoint was defined as the first occurrence of any of the five conditions and was intended as the most inclusive global indicator of chronic-disease incidence. For each outcome, women with prevalent disease (a diagnosis on or before the </w:t>
      </w:r>
      <w:r>
        <w:rPr>
          <w:rFonts w:eastAsia="Arial"/>
        </w:rPr>
        <w:lastRenderedPageBreak/>
        <w:t>index date) were excluded from that specific analysis to define an at-risk population. Death prior to the outcome of interest was treated as a competing event.</w:t>
      </w:r>
    </w:p>
    <w:p w14:paraId="351E7A74" w14:textId="77777777" w:rsidR="003F3F6D" w:rsidRDefault="00000000">
      <w:pPr>
        <w:ind w:firstLine="800"/>
        <w:jc w:val="both"/>
      </w:pPr>
      <w:r>
        <w:rPr>
          <w:rFonts w:eastAsia="Arial"/>
        </w:rPr>
        <w:t>In Cohort B, the two pre-specified primary outcomes were biopsy-confirmed lesion recurrence (defined as a HSIL, CIN3, or invasive cervical cancer diagnosis after the index date) and new high-risk HPV infection (defined as positivity for any of the 14 high-risk types: 16, 18, 31, 33, 35, 39, 45, 51, 52, 56, 58, 59, 66, and 68). Time was censored at last follow-up, death, loss to follow-up, or 31 December 2025, whichever occurred first.</w:t>
      </w:r>
    </w:p>
    <w:p w14:paraId="062F92FC" w14:textId="77777777" w:rsidR="000934E0" w:rsidRDefault="000934E0">
      <w:pPr>
        <w:spacing w:before="240" w:after="120"/>
        <w:rPr>
          <w:rFonts w:eastAsia="Arial"/>
          <w:b/>
          <w:bCs/>
          <w:i/>
          <w:iCs/>
        </w:rPr>
      </w:pPr>
      <w:bookmarkStart w:id="4" w:name="_Hlk228484527"/>
    </w:p>
    <w:p w14:paraId="6D4C90E6" w14:textId="3100C919" w:rsidR="003F3F6D" w:rsidRPr="00633816" w:rsidRDefault="00000000">
      <w:pPr>
        <w:spacing w:before="240" w:after="120"/>
        <w:rPr>
          <w:i/>
          <w:iCs/>
        </w:rPr>
      </w:pPr>
      <w:r w:rsidRPr="00633816">
        <w:rPr>
          <w:rFonts w:eastAsia="Arial"/>
          <w:b/>
          <w:bCs/>
          <w:i/>
          <w:iCs/>
        </w:rPr>
        <w:t>Statistical analysis</w:t>
      </w:r>
    </w:p>
    <w:bookmarkEnd w:id="4"/>
    <w:p w14:paraId="1C66F4D2" w14:textId="16BBDE9F" w:rsidR="00D13844" w:rsidRDefault="00D13844" w:rsidP="00D13844">
      <w:pPr>
        <w:ind w:firstLine="800"/>
        <w:jc w:val="both"/>
      </w:pPr>
      <w:r>
        <w:t xml:space="preserve">Continuous variables were summarised as mean ± </w:t>
      </w:r>
      <w:r w:rsidR="000934E0">
        <w:t>SD</w:t>
      </w:r>
      <w:r>
        <w:t xml:space="preserve"> and compared with Welch's t-test; categorical variables were summarised as counts and percentages and compared with Fisher's exact test. Covariate balance after matching was assessed using the absolute standardised mean difference (|SMD|), with values below 0.10 considered indicative of adequate balance.</w:t>
      </w:r>
    </w:p>
    <w:p w14:paraId="34CAD11D" w14:textId="2AA8B5EE" w:rsidR="00D13844" w:rsidRDefault="00D13844" w:rsidP="00D13844">
      <w:pPr>
        <w:ind w:firstLine="800"/>
        <w:jc w:val="both"/>
      </w:pPr>
      <w:r>
        <w:t xml:space="preserve">For Cohort A, cumulative incidence functions were estimated with the Aalen–Johansen estimator, treating death as a competing event. Cause-specific </w:t>
      </w:r>
      <w:r w:rsidR="003F17B3">
        <w:t>HR</w:t>
      </w:r>
      <w:r>
        <w:t xml:space="preserve">s were obtained from Cox proportional-hazards regression with cluster-robust standard errors using the matched pair as the cluster variable. Subdistribution </w:t>
      </w:r>
      <w:r w:rsidR="003F17B3">
        <w:t>HR</w:t>
      </w:r>
      <w:r>
        <w:t>s were obtained from the Fine–Gray model. Outcomes with fewer than five events in either group were reported descriptively and not modelled.</w:t>
      </w:r>
    </w:p>
    <w:p w14:paraId="1D035A4A" w14:textId="5E73FF97" w:rsidR="00DE5C8B" w:rsidRDefault="00D13844" w:rsidP="00DE5C8B">
      <w:pPr>
        <w:ind w:firstLine="800"/>
        <w:jc w:val="both"/>
      </w:pPr>
      <w:r>
        <w:t xml:space="preserve">For Cohort B, Kaplan–Meier estimators with log-rank tests were used to compare time-to-event curves, and Cox proportional-hazards models adjusted for age at index were used to estimate </w:t>
      </w:r>
      <w:r w:rsidR="003F17B3">
        <w:t>HR</w:t>
      </w:r>
      <w:r>
        <w:t xml:space="preserve">s with 95% </w:t>
      </w:r>
      <w:r w:rsidR="003F17B3">
        <w:t>CI</w:t>
      </w:r>
      <w:r>
        <w:t xml:space="preserve">s, again with cluster-robust standard errors using the fine-matching identifier as the cluster variable. The proportional-hazards assumption was assessed for all primary models by the Schoenfeld residual rank test and inspected graphically by scaled-Schoenfeld plots. Person-years were accumulated from the index date to the first </w:t>
      </w:r>
      <w:r>
        <w:lastRenderedPageBreak/>
        <w:t xml:space="preserve">event, death, or last follow-up, and incidence rates per 1,000 person-years are reported alongside </w:t>
      </w:r>
      <w:r w:rsidR="003F17B3">
        <w:t>HR</w:t>
      </w:r>
      <w:r>
        <w:t>s</w:t>
      </w:r>
      <w:r w:rsidR="002D3D1A">
        <w:t xml:space="preserve">. </w:t>
      </w:r>
      <w:r w:rsidR="008001CA">
        <w:t xml:space="preserve">Heterogeneity of vaccine effect across vaccine types was assessed using a Cox model that included vaccination, vaccine-type indicators (Gardasil 9 as reference), age at index, and vaccine-type × vaccination interaction terms; the interaction was evaluated by likelihood-ratio test (LRT) comparing this model against one without the interaction terms. Subgroup analyses by age </w:t>
      </w:r>
      <w:r w:rsidR="00E714E1">
        <w:rPr>
          <w:lang w:val="en-US"/>
        </w:rPr>
        <w:t>group and</w:t>
      </w:r>
      <w:r w:rsidR="008001CA">
        <w:t xml:space="preserve"> follow-up restrict</w:t>
      </w:r>
      <w:r w:rsidR="00E714E1">
        <w:t>ion was performed.</w:t>
      </w:r>
    </w:p>
    <w:p w14:paraId="4580DB87" w14:textId="6F9407FD" w:rsidR="00E714E1" w:rsidRDefault="00E714E1" w:rsidP="00DE5C8B">
      <w:pPr>
        <w:ind w:firstLine="800"/>
        <w:jc w:val="both"/>
      </w:pPr>
      <w:r>
        <w:t xml:space="preserve">For </w:t>
      </w:r>
      <w:r>
        <w:t>robustness of the pseudo-index assignment in Cohort A, a sensitivity analysis compared three strategies: (i) random sampling from the empirical distribution of vaccinated patients' first-vaccination dates (primary), (ii) calendar-year-matched random sampling, and (iii) risk-set sampling, in which each vaccinated patient's actual vaccination date was assigned to a control who was alive and under observation on that date.</w:t>
      </w:r>
    </w:p>
    <w:p w14:paraId="054EEE5C" w14:textId="19935DC4" w:rsidR="00D13844" w:rsidRDefault="00D13844" w:rsidP="00D13844">
      <w:pPr>
        <w:ind w:firstLine="800"/>
        <w:jc w:val="both"/>
      </w:pPr>
      <w:r>
        <w:t>All analyses were conducted in Python 3.14.3 using lifelines 0.30.3, scikit-learn 1.8.0, scipy 1.17.1, pandas 2.3.3, and numpy 2.4.2; random seeds were set to 42 for reproducibility.</w:t>
      </w:r>
    </w:p>
    <w:p w14:paraId="19D9F327" w14:textId="6EBFD9ED" w:rsidR="003F3F6D" w:rsidRDefault="00000000">
      <w:pPr>
        <w:pageBreakBefore/>
        <w:spacing w:after="200" w:line="360" w:lineRule="auto"/>
      </w:pPr>
      <w:r>
        <w:rPr>
          <w:rFonts w:eastAsia="Arial"/>
          <w:b/>
          <w:bCs/>
          <w:sz w:val="28"/>
          <w:szCs w:val="28"/>
        </w:rPr>
        <w:lastRenderedPageBreak/>
        <w:t>Results</w:t>
      </w:r>
    </w:p>
    <w:p w14:paraId="5951E2E7" w14:textId="77777777" w:rsidR="003F3F6D" w:rsidRPr="00633816" w:rsidRDefault="00000000">
      <w:pPr>
        <w:spacing w:before="240" w:after="120"/>
        <w:rPr>
          <w:i/>
          <w:iCs/>
        </w:rPr>
      </w:pPr>
      <w:bookmarkStart w:id="5" w:name="_Hlk228487800"/>
      <w:r w:rsidRPr="00633816">
        <w:rPr>
          <w:rFonts w:eastAsia="Arial"/>
          <w:b/>
          <w:bCs/>
          <w:i/>
          <w:iCs/>
        </w:rPr>
        <w:t>Cohort selection and baseline characteristics</w:t>
      </w:r>
    </w:p>
    <w:bookmarkEnd w:id="5"/>
    <w:p w14:paraId="75C78A7E" w14:textId="440764E8" w:rsidR="00DE5C8B" w:rsidRPr="00DE5C8B" w:rsidRDefault="00DE5C8B" w:rsidP="00DE5C8B">
      <w:pPr>
        <w:ind w:firstLine="720"/>
        <w:jc w:val="both"/>
        <w:rPr>
          <w:rFonts w:eastAsia="Arial"/>
        </w:rPr>
      </w:pPr>
      <w:r w:rsidRPr="00DE5C8B">
        <w:rPr>
          <w:rFonts w:eastAsia="Arial"/>
        </w:rPr>
        <w:t xml:space="preserve">A total of 32,969 women contributed to the source population, of whom 2,156 (6.5%) had received at least one HPV vaccination during follow-up. Application of the two matching strategies yielded the final analytic cohorts: Cohort A comprised 4,102 women (2,051 vaccinated and 2,051 unvaccinated, </w:t>
      </w:r>
      <w:r w:rsidR="00F953F7">
        <w:rPr>
          <w:rFonts w:eastAsia="Arial"/>
        </w:rPr>
        <w:t>PS</w:t>
      </w:r>
      <w:r w:rsidRPr="00DE5C8B">
        <w:rPr>
          <w:rFonts w:eastAsia="Arial"/>
        </w:rPr>
        <w:t xml:space="preserve"> matched 1:1) and Cohort B comprised 1,108 women (241 vaccinated and 867 matched controls, 1:4 ratio). The full selection process is shown in </w:t>
      </w:r>
      <w:r w:rsidRPr="00DE5C8B">
        <w:rPr>
          <w:rFonts w:eastAsia="Arial"/>
          <w:b/>
          <w:bCs/>
        </w:rPr>
        <w:t>Figure 1</w:t>
      </w:r>
      <w:r w:rsidRPr="00DE5C8B">
        <w:rPr>
          <w:rFonts w:eastAsia="Arial"/>
        </w:rPr>
        <w:t>.</w:t>
      </w:r>
    </w:p>
    <w:p w14:paraId="0319051B" w14:textId="567C8DD9" w:rsidR="00DE5C8B" w:rsidRPr="00DE5C8B" w:rsidRDefault="00DE5C8B" w:rsidP="00DE5C8B">
      <w:pPr>
        <w:ind w:firstLine="720"/>
        <w:jc w:val="both"/>
        <w:rPr>
          <w:rFonts w:eastAsia="Arial"/>
        </w:rPr>
      </w:pPr>
      <w:r w:rsidRPr="00DE5C8B">
        <w:rPr>
          <w:rFonts w:eastAsia="Arial"/>
        </w:rPr>
        <w:t xml:space="preserve">In </w:t>
      </w:r>
      <w:commentRangeStart w:id="6"/>
      <w:r w:rsidRPr="00DE5C8B">
        <w:rPr>
          <w:rFonts w:eastAsia="Arial"/>
        </w:rPr>
        <w:t>Cohort</w:t>
      </w:r>
      <w:commentRangeEnd w:id="6"/>
      <w:r w:rsidR="000934E0" w:rsidRPr="00DE5C8B">
        <w:rPr>
          <w:rStyle w:val="CommentReference"/>
          <w:rFonts w:eastAsia="Arial"/>
          <w:sz w:val="22"/>
          <w:szCs w:val="22"/>
        </w:rPr>
        <w:commentReference w:id="6"/>
      </w:r>
      <w:r w:rsidRPr="00DE5C8B">
        <w:rPr>
          <w:rFonts w:eastAsia="Arial"/>
        </w:rPr>
        <w:t xml:space="preserve"> A, the matched groups were well balanced on all measured characteristics. The mean age at the index date was 33.5 (</w:t>
      </w:r>
      <w:r w:rsidR="000934E0">
        <w:rPr>
          <w:rFonts w:eastAsia="Arial"/>
        </w:rPr>
        <w:t>SD</w:t>
      </w:r>
      <w:r w:rsidRPr="00DE5C8B">
        <w:rPr>
          <w:rFonts w:eastAsia="Arial"/>
        </w:rPr>
        <w:t xml:space="preserve"> 9.2) years in vaccinated women and 34.2 (9.2) years in controls (|SMD| = 0.07); body-mass index, systolic and diastolic blood pressures, distribution of smoking status, and proportion residing in Seoul were balanced to |SMD| &lt; 0.05 (</w:t>
      </w:r>
      <w:r w:rsidRPr="00DE5C8B">
        <w:rPr>
          <w:rFonts w:eastAsia="Arial"/>
          <w:b/>
          <w:bCs/>
        </w:rPr>
        <w:t>Table 1</w:t>
      </w:r>
      <w:r w:rsidRPr="00DE5C8B">
        <w:rPr>
          <w:rFonts w:eastAsia="Arial"/>
        </w:rPr>
        <w:t>). The proportion of women with missing anthropometric and blood-pressure data was also equalised after matching (each |SMD| ≤ 0.05; Supplementary Table S1). The composite of any pre-existing chronic disease at baseline occurred in 1.1% of vaccinated and 0.6% of controls (|SMD| = 0.05); residual imbalance for individual conditions was modest (|SMD| ≤ 0.09 for each).</w:t>
      </w:r>
    </w:p>
    <w:p w14:paraId="71E57DB3" w14:textId="77777777" w:rsidR="00DE5C8B" w:rsidRPr="00DE5C8B" w:rsidRDefault="00DE5C8B" w:rsidP="00DE5C8B">
      <w:pPr>
        <w:ind w:firstLine="720"/>
        <w:jc w:val="both"/>
        <w:rPr>
          <w:rFonts w:eastAsia="Arial"/>
        </w:rPr>
      </w:pPr>
      <w:r w:rsidRPr="00DE5C8B">
        <w:rPr>
          <w:rFonts w:eastAsia="Arial"/>
        </w:rPr>
        <w:t>In Cohort B, all matching variables were well balanced after fine matching. Mean age at the index date was 37.3 (9.5) years in the vaccinated group and 37.2 (8.5) years in controls (|SMD| = 0.01); body-mass index averaged 22.3 kg/m² in both groups (|SMD| = 0.02); over 99% of women in both groups had undergone conization rather than hysterectomy (|SMD| = 0.04). Median follow-up was approximately 6.1 years in both groups.</w:t>
      </w:r>
    </w:p>
    <w:p w14:paraId="33F4D578" w14:textId="77777777" w:rsidR="000934E0" w:rsidRDefault="000934E0">
      <w:pPr>
        <w:spacing w:before="240" w:after="120"/>
        <w:rPr>
          <w:rFonts w:eastAsia="Arial"/>
          <w:b/>
          <w:bCs/>
          <w:i/>
          <w:iCs/>
        </w:rPr>
      </w:pPr>
      <w:bookmarkStart w:id="7" w:name="_Hlk228487921"/>
    </w:p>
    <w:p w14:paraId="3558397A" w14:textId="5122827D" w:rsidR="003F3F6D" w:rsidRPr="00633816" w:rsidRDefault="00000000">
      <w:pPr>
        <w:spacing w:before="240" w:after="120"/>
        <w:rPr>
          <w:i/>
          <w:iCs/>
        </w:rPr>
      </w:pPr>
      <w:r w:rsidRPr="00633816">
        <w:rPr>
          <w:rFonts w:eastAsia="Arial"/>
          <w:b/>
          <w:bCs/>
          <w:i/>
          <w:iCs/>
        </w:rPr>
        <w:t>Long-term incidence of chronic comorbidities</w:t>
      </w:r>
      <w:r w:rsidR="00633816">
        <w:rPr>
          <w:rFonts w:eastAsia="Arial"/>
          <w:b/>
          <w:bCs/>
          <w:i/>
          <w:iCs/>
        </w:rPr>
        <w:t xml:space="preserve"> (Cohort A)</w:t>
      </w:r>
    </w:p>
    <w:p w14:paraId="0F7CD979" w14:textId="5F2A8665" w:rsidR="003F17B3" w:rsidRDefault="003F17B3">
      <w:pPr>
        <w:ind w:firstLine="800"/>
        <w:jc w:val="both"/>
      </w:pPr>
      <w:r>
        <w:t xml:space="preserve">Over a mean follow-up of approximately 5.9 years per participant, 59 women experienced any of the five chronic conditions after the index date (29 vaccinated, incidence </w:t>
      </w:r>
      <w:r>
        <w:lastRenderedPageBreak/>
        <w:t xml:space="preserve">rate 2.40 per 1,000 person-years; 30 unvaccinated, 1.98 per 1,000 person-years), and 28 died from any cause. </w:t>
      </w:r>
      <w:r>
        <w:rPr>
          <w:rStyle w:val="Strong"/>
        </w:rPr>
        <w:t>Figure 2</w:t>
      </w:r>
      <w:r>
        <w:t xml:space="preserve"> displays the Aalen–Johansen cumulative incidence curves for the Any-of-five composite, the Major Cardiovascular Events composite, and each individual condition, alongside a forest plot of cause-specific and Fine–Gray </w:t>
      </w:r>
      <w:r>
        <w:t>HR</w:t>
      </w:r>
      <w:r>
        <w:t>s.</w:t>
      </w:r>
    </w:p>
    <w:p w14:paraId="178BCDB5" w14:textId="0A171059" w:rsidR="003F17B3" w:rsidRDefault="003F17B3">
      <w:pPr>
        <w:ind w:firstLine="800"/>
        <w:jc w:val="both"/>
      </w:pPr>
      <w:r>
        <w:t xml:space="preserve">For the Any-of-five composite, the cluster-robust cause-specific </w:t>
      </w:r>
      <w:r>
        <w:t>HR</w:t>
      </w:r>
      <w:r>
        <w:t xml:space="preserve"> for vaccination was 1.26 (95% CI 0.75 to 2.12, p = 0.38), and the Fine–Gray subdistribution </w:t>
      </w:r>
      <w:r>
        <w:t>HR</w:t>
      </w:r>
      <w:r>
        <w:t xml:space="preserve"> was virtually identical. For the Major Cardiovascular Events composite, only five events occurred (three vaccinated, two unvaccinated), yielding a cause-specific </w:t>
      </w:r>
      <w:r>
        <w:t>HR</w:t>
      </w:r>
      <w:r>
        <w:t xml:space="preserve"> of 1.96 (95% CI 0.31 to 12.44, p = 0.47). Among the individual conditions, </w:t>
      </w:r>
      <w:r>
        <w:t>HR</w:t>
      </w:r>
      <w:r>
        <w:t>s were 1.25 for diabetes (95% CI 0.68 to 2.28, p = 0.48) and 1.49 for hypertension (95% CI 0.53 to 4.18, p = 0.45); estimates for stroke and pulmonary embolism could not be obtained because no events occurred in one or both groups, and the Angina/MI estimate could not be reliably estimated owing to fewer than five events overall (</w:t>
      </w:r>
      <w:r>
        <w:rPr>
          <w:rStyle w:val="Strong"/>
        </w:rPr>
        <w:t>Table 2</w:t>
      </w:r>
      <w:r>
        <w:t>).</w:t>
      </w:r>
    </w:p>
    <w:p w14:paraId="20468BE1" w14:textId="35471BD6" w:rsidR="003F3F6D" w:rsidRDefault="003F17B3" w:rsidP="003F17B3">
      <w:pPr>
        <w:ind w:firstLine="800"/>
        <w:jc w:val="both"/>
      </w:pPr>
      <w:r>
        <w:t xml:space="preserve">The pseudo-index sensitivity analysis showed concordant Any-of-five </w:t>
      </w:r>
      <w:r>
        <w:t>HR</w:t>
      </w:r>
      <w:r>
        <w:t>s across the three strategies (1.26, 1.27, and 1.21, respectively; Supplementary Table S8).</w:t>
      </w:r>
    </w:p>
    <w:p w14:paraId="26663832" w14:textId="77777777" w:rsidR="000934E0" w:rsidRDefault="000934E0">
      <w:pPr>
        <w:spacing w:before="240" w:after="120"/>
        <w:rPr>
          <w:rFonts w:eastAsia="Arial"/>
          <w:b/>
          <w:bCs/>
          <w:i/>
          <w:iCs/>
        </w:rPr>
      </w:pPr>
      <w:bookmarkStart w:id="8" w:name="_Hlk228488178"/>
      <w:bookmarkEnd w:id="7"/>
    </w:p>
    <w:p w14:paraId="4D70F441" w14:textId="198F380E" w:rsidR="003F3F6D" w:rsidRPr="00633816" w:rsidRDefault="00000000">
      <w:pPr>
        <w:spacing w:before="240" w:after="120"/>
        <w:rPr>
          <w:rFonts w:ascii="Malgun Gothic" w:eastAsia="Malgun Gothic" w:hAnsi="Malgun Gothic" w:cs="Malgun Gothic"/>
          <w:i/>
          <w:iCs/>
          <w:lang w:val="en-US"/>
        </w:rPr>
      </w:pPr>
      <w:r w:rsidRPr="00633816">
        <w:rPr>
          <w:rFonts w:eastAsia="Arial"/>
          <w:b/>
          <w:bCs/>
          <w:i/>
          <w:iCs/>
        </w:rPr>
        <w:t>Post-surgical vaccine efficacy</w:t>
      </w:r>
      <w:r w:rsidR="00633816">
        <w:rPr>
          <w:rFonts w:eastAsia="Arial" w:hint="eastAsia"/>
          <w:b/>
          <w:bCs/>
          <w:i/>
          <w:iCs/>
        </w:rPr>
        <w:t xml:space="preserve"> (</w:t>
      </w:r>
      <w:r w:rsidR="00633816">
        <w:rPr>
          <w:rFonts w:ascii="Malgun Gothic" w:eastAsia="Malgun Gothic" w:hAnsi="Malgun Gothic" w:cs="Malgun Gothic"/>
          <w:b/>
          <w:bCs/>
          <w:i/>
          <w:iCs/>
          <w:lang w:val="en-US"/>
        </w:rPr>
        <w:t>Cohort B)</w:t>
      </w:r>
    </w:p>
    <w:bookmarkEnd w:id="8"/>
    <w:p w14:paraId="15B8784A" w14:textId="09A7E26C" w:rsidR="003F17B3" w:rsidRDefault="003F17B3" w:rsidP="003F17B3">
      <w:pPr>
        <w:ind w:firstLine="800"/>
        <w:jc w:val="both"/>
      </w:pPr>
      <w:r>
        <w:t>Over a median follow-up of 4.88 years (IQR 3.33–8.57) in vaccinated and 5.02 years (IQR 3.42–8.71) in unvaccinated women (1,474 and 5,308 person-years, respectively), 70 women experienced biopsy-confirmed lesion recurrence (13 of 241 vaccinated, incidence rate 8.82 per 1,000 person-years; 57 of 867 controls, 10.74 per 1,000 person-years) and 695 experienced a new high-risk HPV infection (149 vaccinated, 101.08 per 1,000 person-years; 546 controls, 102.86 per 1,000 person-years).</w:t>
      </w:r>
      <w:r>
        <w:rPr>
          <w:rFonts w:hint="eastAsia"/>
        </w:rPr>
        <w:t xml:space="preserve"> </w:t>
      </w:r>
      <w:r>
        <w:t>Vaccination was not associated with recurrence (</w:t>
      </w:r>
      <w:r>
        <w:t>HR</w:t>
      </w:r>
      <w:r>
        <w:t xml:space="preserve"> 0.76, 95% CI 0.43 to 1.33, p = 0.34) or HPV reinfection (</w:t>
      </w:r>
      <w:r>
        <w:t>HR</w:t>
      </w:r>
      <w:r>
        <w:t xml:space="preserve"> 0.97, 95% CI 0.83 to 1.14, p = 0.71). Kaplan–Meier curves and the corresponding </w:t>
      </w:r>
      <w:r>
        <w:t>HR</w:t>
      </w:r>
      <w:r>
        <w:t xml:space="preserve">s are shown in </w:t>
      </w:r>
      <w:r>
        <w:rPr>
          <w:rStyle w:val="Strong"/>
        </w:rPr>
        <w:t>Figure 3</w:t>
      </w:r>
      <w:r>
        <w:t xml:space="preserve"> and </w:t>
      </w:r>
      <w:r>
        <w:rPr>
          <w:rStyle w:val="Strong"/>
        </w:rPr>
        <w:t>Table 3</w:t>
      </w:r>
      <w:r>
        <w:t>.</w:t>
      </w:r>
    </w:p>
    <w:p w14:paraId="350A32AC" w14:textId="60B4BC9E" w:rsidR="003F17B3" w:rsidRDefault="003F17B3" w:rsidP="003F17B3">
      <w:pPr>
        <w:ind w:firstLine="800"/>
        <w:jc w:val="both"/>
      </w:pPr>
      <w:r>
        <w:lastRenderedPageBreak/>
        <w:t xml:space="preserve">The likelihood-ratio test for vaccine-type heterogeneity was non-significant for lesion recurrence (χ² = 0.27, df = 2, p = 0.87) but significant for HPV reinfection (χ² = 6.60, df = 2, p = 0.037; </w:t>
      </w:r>
      <w:r w:rsidRPr="003F17B3">
        <w:rPr>
          <w:b/>
          <w:bCs/>
        </w:rPr>
        <w:t>Figure 4</w:t>
      </w:r>
      <w:r>
        <w:t xml:space="preserve">). The type-specific HPV-reinfection </w:t>
      </w:r>
      <w:r>
        <w:t>HR</w:t>
      </w:r>
      <w:r>
        <w:t>s were 1.10 for the nonavalent vaccine (Gardasil 9; 95% CI 0.90 to 1.33), 1.11 for the bivalent vaccine (Cervarix; 95% CI 0.81 to 1.51), and 0.49 for the quadrivalent vaccine (Gardasil; 95% CI 0.26 to 0.93).</w:t>
      </w:r>
    </w:p>
    <w:p w14:paraId="1699BC9F" w14:textId="719E6375" w:rsidR="003F17B3" w:rsidRDefault="003F17B3" w:rsidP="003F17B3">
      <w:pPr>
        <w:ind w:firstLine="800"/>
        <w:jc w:val="both"/>
      </w:pPr>
      <w:r>
        <w:t xml:space="preserve">Exploratory subgroup analyses of lesion recurrence by age group and follow-up duration are summarised in </w:t>
      </w:r>
      <w:r>
        <w:rPr>
          <w:rStyle w:val="Strong"/>
        </w:rPr>
        <w:t>Table 4</w:t>
      </w:r>
      <w:r>
        <w:t xml:space="preserve">. Among women aged 40 to 49 years, point estimates suggested a reduction across all time windows (2-year </w:t>
      </w:r>
      <w:r>
        <w:t>HR</w:t>
      </w:r>
      <w:r>
        <w:t xml:space="preserve"> 0.22, 95% CI 0.03 to 1.64; full follow-up </w:t>
      </w:r>
      <w:r>
        <w:t>HR</w:t>
      </w:r>
      <w:r>
        <w:t xml:space="preserve"> 0.45, 95% CI 0.14 to 1.45), although none reached statistical significance. A similar pattern was observed for women aged below 40 years. In contrast, among women aged 50 years or older, point estimates were in the opposite direction (full </w:t>
      </w:r>
      <w:r>
        <w:t>HR</w:t>
      </w:r>
      <w:r>
        <w:t xml:space="preserve"> </w:t>
      </w:r>
      <w:r>
        <w:t>HR</w:t>
      </w:r>
      <w:r>
        <w:t xml:space="preserve"> 3.23, 95% CI 0.90 to 11.54, p = 0.07).</w:t>
      </w:r>
    </w:p>
    <w:p w14:paraId="4A506D8C" w14:textId="77777777" w:rsidR="003F3F6D" w:rsidRDefault="00000000">
      <w:pPr>
        <w:pageBreakBefore/>
        <w:spacing w:after="200" w:line="360" w:lineRule="auto"/>
      </w:pPr>
      <w:r>
        <w:rPr>
          <w:rFonts w:eastAsia="Arial"/>
          <w:b/>
          <w:bCs/>
          <w:sz w:val="28"/>
          <w:szCs w:val="28"/>
        </w:rPr>
        <w:lastRenderedPageBreak/>
        <w:t>Tables and Figures</w:t>
      </w:r>
    </w:p>
    <w:p w14:paraId="0A876F93" w14:textId="77777777" w:rsidR="003F3F6D" w:rsidRDefault="00000000">
      <w:pPr>
        <w:spacing w:before="240" w:after="120"/>
      </w:pPr>
      <w:r>
        <w:rPr>
          <w:rFonts w:eastAsia="Arial"/>
          <w:b/>
          <w:bCs/>
        </w:rPr>
        <w:t>Main tables and figures</w:t>
      </w:r>
    </w:p>
    <w:p w14:paraId="4443F1A8" w14:textId="77777777" w:rsidR="00633816" w:rsidRDefault="00000000">
      <w:pPr>
        <w:jc w:val="both"/>
        <w:rPr>
          <w:rFonts w:eastAsia="Arial"/>
        </w:rPr>
      </w:pPr>
      <w:r>
        <w:rPr>
          <w:rFonts w:eastAsia="Arial"/>
        </w:rPr>
        <w:t xml:space="preserve">- </w:t>
      </w:r>
      <w:r>
        <w:rPr>
          <w:rFonts w:eastAsia="Arial"/>
          <w:b/>
          <w:bCs/>
        </w:rPr>
        <w:t>Figure 1</w:t>
      </w:r>
      <w:r>
        <w:rPr>
          <w:rFonts w:eastAsia="Arial"/>
        </w:rPr>
        <w:t xml:space="preserve">. CONSORT-style cohort selection flow diagram showing derivation of Cohort A (whole-cohort safety analysis) and Cohort B (post-surgical efficacy analysis) from the single source population (Mermaid diagram in `docs/Methods_CohortSelection.md`; export to PNG for submission). </w:t>
      </w:r>
    </w:p>
    <w:p w14:paraId="22138FF3" w14:textId="4468E0BA" w:rsidR="00633816" w:rsidRDefault="00000000">
      <w:pPr>
        <w:jc w:val="both"/>
        <w:rPr>
          <w:rFonts w:eastAsia="Arial"/>
        </w:rPr>
      </w:pPr>
      <w:r>
        <w:rPr>
          <w:rFonts w:eastAsia="Arial"/>
        </w:rPr>
        <w:t xml:space="preserve">- </w:t>
      </w:r>
      <w:r>
        <w:rPr>
          <w:rFonts w:eastAsia="Arial"/>
          <w:b/>
          <w:bCs/>
        </w:rPr>
        <w:t>Figure 2</w:t>
      </w:r>
      <w:r>
        <w:rPr>
          <w:rFonts w:eastAsia="Arial"/>
        </w:rPr>
        <w:t xml:space="preserve">. Cumulative incidence functions (Aalen–Johansen estimator) and forest plot of cause-specific and Fine–Gray subdistribution </w:t>
      </w:r>
      <w:r w:rsidR="003F17B3">
        <w:rPr>
          <w:rFonts w:eastAsia="Arial"/>
        </w:rPr>
        <w:t>HR</w:t>
      </w:r>
      <w:r>
        <w:rPr>
          <w:rFonts w:eastAsia="Arial"/>
        </w:rPr>
        <w:t xml:space="preserve">s for Cohort A. File: `Data/cohort_a_psm_cif_hr.png`. </w:t>
      </w:r>
    </w:p>
    <w:p w14:paraId="643927C3" w14:textId="77777777" w:rsidR="00633816" w:rsidRDefault="00000000">
      <w:pPr>
        <w:jc w:val="both"/>
        <w:rPr>
          <w:rFonts w:eastAsia="Arial"/>
        </w:rPr>
      </w:pPr>
      <w:r>
        <w:rPr>
          <w:rFonts w:eastAsia="Arial"/>
        </w:rPr>
        <w:t xml:space="preserve">- </w:t>
      </w:r>
      <w:r>
        <w:rPr>
          <w:rFonts w:eastAsia="Arial"/>
          <w:b/>
          <w:bCs/>
        </w:rPr>
        <w:t>Figure 3</w:t>
      </w:r>
      <w:r>
        <w:rPr>
          <w:rFonts w:eastAsia="Arial"/>
        </w:rPr>
        <w:t xml:space="preserve">. Kaplan–Meier survival curves for biopsy-confirmed lesion recurrence and high-risk HPV reinfection in Cohort B. File: `Data/figure1_kaplan_meier.png`. </w:t>
      </w:r>
    </w:p>
    <w:p w14:paraId="7DE14705" w14:textId="49299667" w:rsidR="00633816" w:rsidRDefault="00000000">
      <w:pPr>
        <w:jc w:val="both"/>
        <w:rPr>
          <w:rFonts w:eastAsia="Arial"/>
        </w:rPr>
      </w:pPr>
      <w:r>
        <w:rPr>
          <w:rFonts w:eastAsia="Arial"/>
        </w:rPr>
        <w:t xml:space="preserve">- </w:t>
      </w:r>
      <w:r>
        <w:rPr>
          <w:rFonts w:eastAsia="Arial"/>
          <w:b/>
          <w:bCs/>
        </w:rPr>
        <w:t>Figure 4</w:t>
      </w:r>
      <w:r>
        <w:rPr>
          <w:rFonts w:eastAsia="Arial"/>
        </w:rPr>
        <w:t xml:space="preserve">. Forest plot of </w:t>
      </w:r>
      <w:r w:rsidR="003F17B3">
        <w:rPr>
          <w:rFonts w:eastAsia="Arial"/>
        </w:rPr>
        <w:t>HR</w:t>
      </w:r>
      <w:r>
        <w:rPr>
          <w:rFonts w:eastAsia="Arial"/>
        </w:rPr>
        <w:t xml:space="preserve">s by vaccine type (Gardasil 9, Cervarix, Gardasil) for both Cohort B outcomes. File: `Data/figure5_vaccine_forest.png`. </w:t>
      </w:r>
    </w:p>
    <w:p w14:paraId="6F6F1605" w14:textId="77777777" w:rsidR="00633816" w:rsidRDefault="00000000">
      <w:pPr>
        <w:jc w:val="both"/>
        <w:rPr>
          <w:rFonts w:eastAsia="Arial"/>
        </w:rPr>
      </w:pPr>
      <w:r>
        <w:rPr>
          <w:rFonts w:eastAsia="Arial"/>
        </w:rPr>
        <w:t xml:space="preserve">- </w:t>
      </w:r>
      <w:r>
        <w:rPr>
          <w:rFonts w:eastAsia="Arial"/>
          <w:b/>
          <w:bCs/>
        </w:rPr>
        <w:t>Table 1</w:t>
      </w:r>
      <w:r>
        <w:rPr>
          <w:rFonts w:eastAsia="Arial"/>
        </w:rPr>
        <w:t xml:space="preserve">. Baseline characteristics of analytic cohorts after matching, with absolute standardised mean differences. Source: `Data/Table1_BaselineCharacteristics_unified.docx` (post-matching blocks). </w:t>
      </w:r>
    </w:p>
    <w:p w14:paraId="2043DD7A" w14:textId="032DAE3C" w:rsidR="00633816" w:rsidRDefault="00000000">
      <w:pPr>
        <w:jc w:val="both"/>
        <w:rPr>
          <w:rFonts w:eastAsia="Arial"/>
        </w:rPr>
      </w:pPr>
      <w:r>
        <w:rPr>
          <w:rFonts w:eastAsia="Arial"/>
        </w:rPr>
        <w:t xml:space="preserve">- </w:t>
      </w:r>
      <w:r>
        <w:rPr>
          <w:rFonts w:eastAsia="Arial"/>
          <w:b/>
          <w:bCs/>
        </w:rPr>
        <w:t>Table 2</w:t>
      </w:r>
      <w:r>
        <w:rPr>
          <w:rFonts w:eastAsia="Arial"/>
        </w:rPr>
        <w:t xml:space="preserve">. Cohort A — events, cause-specific </w:t>
      </w:r>
      <w:r w:rsidR="003F17B3">
        <w:rPr>
          <w:rFonts w:eastAsia="Arial"/>
        </w:rPr>
        <w:t>HR</w:t>
      </w:r>
      <w:r>
        <w:rPr>
          <w:rFonts w:eastAsia="Arial"/>
        </w:rPr>
        <w:t xml:space="preserve">s, and Fine–Gray subdistribution </w:t>
      </w:r>
      <w:r w:rsidR="003F17B3">
        <w:rPr>
          <w:rFonts w:eastAsia="Arial"/>
        </w:rPr>
        <w:t>HR</w:t>
      </w:r>
      <w:r>
        <w:rPr>
          <w:rFonts w:eastAsia="Arial"/>
        </w:rPr>
        <w:t xml:space="preserve">s for each endpoint. Source: `Data/cohort_a_psm_hr_results.csv`. </w:t>
      </w:r>
    </w:p>
    <w:p w14:paraId="08D01A78" w14:textId="0CFC6155" w:rsidR="003F3F6D" w:rsidRDefault="00000000">
      <w:pPr>
        <w:jc w:val="both"/>
      </w:pPr>
      <w:r>
        <w:rPr>
          <w:rFonts w:eastAsia="Arial"/>
        </w:rPr>
        <w:t xml:space="preserve">- </w:t>
      </w:r>
      <w:r>
        <w:rPr>
          <w:rFonts w:eastAsia="Arial"/>
          <w:b/>
          <w:bCs/>
        </w:rPr>
        <w:t>Table 3</w:t>
      </w:r>
      <w:r>
        <w:rPr>
          <w:rFonts w:eastAsia="Arial"/>
        </w:rPr>
        <w:t xml:space="preserve">. Cohort B — events, age-adjusted Cox </w:t>
      </w:r>
      <w:r w:rsidR="003F17B3">
        <w:rPr>
          <w:rFonts w:eastAsia="Arial"/>
        </w:rPr>
        <w:t>HR</w:t>
      </w:r>
      <w:r>
        <w:rPr>
          <w:rFonts w:eastAsia="Arial"/>
        </w:rPr>
        <w:t xml:space="preserve">s (95% </w:t>
      </w:r>
      <w:r w:rsidR="003F17B3">
        <w:rPr>
          <w:rFonts w:eastAsia="Arial"/>
        </w:rPr>
        <w:t>CI</w:t>
      </w:r>
      <w:r>
        <w:rPr>
          <w:rFonts w:eastAsia="Arial"/>
        </w:rPr>
        <w:t>s), and p-values for lesion recurrence and high-risk HPV reinfection. Source: `Data/final_matched_summary.csv` and Cox results from `scripts/analyze_cohort.py`.</w:t>
      </w:r>
    </w:p>
    <w:p w14:paraId="32942CAF" w14:textId="77777777" w:rsidR="003F3F6D" w:rsidRDefault="00000000">
      <w:pPr>
        <w:spacing w:before="240" w:after="120"/>
      </w:pPr>
      <w:r>
        <w:rPr>
          <w:rFonts w:eastAsia="Arial"/>
          <w:b/>
          <w:bCs/>
        </w:rPr>
        <w:t>Supplementary materials</w:t>
      </w:r>
    </w:p>
    <w:p w14:paraId="0C8BD91A" w14:textId="77777777" w:rsidR="00633816" w:rsidRDefault="00000000">
      <w:pPr>
        <w:jc w:val="both"/>
        <w:rPr>
          <w:rFonts w:eastAsia="Arial"/>
        </w:rPr>
      </w:pPr>
      <w:r>
        <w:rPr>
          <w:rFonts w:eastAsia="Arial"/>
        </w:rPr>
        <w:t xml:space="preserve">- </w:t>
      </w:r>
      <w:r>
        <w:rPr>
          <w:rFonts w:eastAsia="Arial"/>
          <w:b/>
          <w:bCs/>
        </w:rPr>
        <w:t>Supplementary Figure S1</w:t>
      </w:r>
      <w:r>
        <w:rPr>
          <w:rFonts w:eastAsia="Arial"/>
        </w:rPr>
        <w:t xml:space="preserve">. Love plot for Cohort A propensity score matching. File: `Data/cohort_a_psm_loveplot.png`. </w:t>
      </w:r>
    </w:p>
    <w:p w14:paraId="4E232E9A" w14:textId="05AA5580" w:rsidR="00633816" w:rsidRDefault="00000000">
      <w:pPr>
        <w:jc w:val="both"/>
        <w:rPr>
          <w:rFonts w:eastAsia="Arial"/>
        </w:rPr>
      </w:pPr>
      <w:r>
        <w:rPr>
          <w:rFonts w:eastAsia="Arial"/>
        </w:rPr>
        <w:lastRenderedPageBreak/>
        <w:t xml:space="preserve">- </w:t>
      </w:r>
      <w:r>
        <w:rPr>
          <w:rFonts w:eastAsia="Arial"/>
          <w:b/>
          <w:bCs/>
        </w:rPr>
        <w:t>Supplementary Figure S2</w:t>
      </w:r>
      <w:r>
        <w:rPr>
          <w:rFonts w:eastAsia="Arial"/>
        </w:rPr>
        <w:t xml:space="preserve">. Love plot for Cohort B fine matching. File: `Data/love_plot.png`. - </w:t>
      </w:r>
      <w:r>
        <w:rPr>
          <w:rFonts w:eastAsia="Arial"/>
          <w:b/>
          <w:bCs/>
        </w:rPr>
        <w:t>Supplementary Figure S3</w:t>
      </w:r>
      <w:r>
        <w:rPr>
          <w:rFonts w:eastAsia="Arial"/>
        </w:rPr>
        <w:t xml:space="preserve">. </w:t>
      </w:r>
      <w:r w:rsidR="00F953F7">
        <w:rPr>
          <w:rFonts w:eastAsia="Arial"/>
        </w:rPr>
        <w:t>PS</w:t>
      </w:r>
      <w:r>
        <w:rPr>
          <w:rFonts w:eastAsia="Arial"/>
        </w:rPr>
        <w:t xml:space="preserve"> density distributions, before and after matching. File: `Data/SupFigS3_ps_density.png`. </w:t>
      </w:r>
    </w:p>
    <w:p w14:paraId="1015F4F5" w14:textId="77777777" w:rsidR="00633816" w:rsidRDefault="00000000">
      <w:pPr>
        <w:jc w:val="both"/>
        <w:rPr>
          <w:rFonts w:eastAsia="Arial"/>
        </w:rPr>
      </w:pPr>
      <w:r>
        <w:rPr>
          <w:rFonts w:eastAsia="Arial"/>
        </w:rPr>
        <w:t xml:space="preserve">- </w:t>
      </w:r>
      <w:r>
        <w:rPr>
          <w:rFonts w:eastAsia="Arial"/>
          <w:b/>
          <w:bCs/>
        </w:rPr>
        <w:t>Supplementary Figure S4</w:t>
      </w:r>
      <w:r>
        <w:rPr>
          <w:rFonts w:eastAsia="Arial"/>
        </w:rPr>
        <w:t xml:space="preserve">. Subgroup forest plot by age strata for Cohort B. File: `Data/figure3_subgroup_km.png`. </w:t>
      </w:r>
    </w:p>
    <w:p w14:paraId="7F116786" w14:textId="77777777" w:rsidR="00633816" w:rsidRDefault="00000000">
      <w:pPr>
        <w:jc w:val="both"/>
        <w:rPr>
          <w:rFonts w:eastAsia="Arial"/>
        </w:rPr>
      </w:pPr>
      <w:r>
        <w:rPr>
          <w:rFonts w:eastAsia="Arial"/>
        </w:rPr>
        <w:t xml:space="preserve">- </w:t>
      </w:r>
      <w:r>
        <w:rPr>
          <w:rFonts w:eastAsia="Arial"/>
          <w:b/>
          <w:bCs/>
        </w:rPr>
        <w:t>Supplementary Figure S5</w:t>
      </w:r>
      <w:r>
        <w:rPr>
          <w:rFonts w:eastAsia="Arial"/>
        </w:rPr>
        <w:t xml:space="preserve">. Schoenfeld residual plots for Cohort A primary models (Any-of-5, Diabetes). Files: `Data/PH_check_A_*.png`. </w:t>
      </w:r>
    </w:p>
    <w:p w14:paraId="382E358B" w14:textId="77777777" w:rsidR="00633816" w:rsidRDefault="00000000">
      <w:pPr>
        <w:jc w:val="both"/>
        <w:rPr>
          <w:rFonts w:eastAsia="Arial"/>
        </w:rPr>
      </w:pPr>
      <w:r>
        <w:rPr>
          <w:rFonts w:eastAsia="Arial"/>
        </w:rPr>
        <w:t xml:space="preserve">- </w:t>
      </w:r>
      <w:r>
        <w:rPr>
          <w:rFonts w:eastAsia="Arial"/>
          <w:b/>
          <w:bCs/>
        </w:rPr>
        <w:t>Supplementary Figure S6</w:t>
      </w:r>
      <w:r>
        <w:rPr>
          <w:rFonts w:eastAsia="Arial"/>
        </w:rPr>
        <w:t xml:space="preserve">. Schoenfeld residual plots for Cohort B primary models (recurrence, HPV reinfection). Files: `Data/PH_check_B_*.png`. </w:t>
      </w:r>
    </w:p>
    <w:p w14:paraId="4DAC1B60" w14:textId="77777777" w:rsidR="00633816" w:rsidRDefault="00000000">
      <w:pPr>
        <w:jc w:val="both"/>
        <w:rPr>
          <w:rFonts w:eastAsia="Arial"/>
        </w:rPr>
      </w:pPr>
      <w:r>
        <w:rPr>
          <w:rFonts w:eastAsia="Arial"/>
        </w:rPr>
        <w:t xml:space="preserve">- </w:t>
      </w:r>
      <w:r>
        <w:rPr>
          <w:rFonts w:eastAsia="Arial"/>
          <w:b/>
          <w:bCs/>
        </w:rPr>
        <w:t>Supplementary Table S1</w:t>
      </w:r>
      <w:r>
        <w:rPr>
          <w:rFonts w:eastAsia="Arial"/>
        </w:rPr>
        <w:t xml:space="preserve">. Pre-matching baseline characteristics with the same variable list as Table 1. File: `Data/Table1_BaselineCharacteristics_unified.docx` (pre-matching blocks). </w:t>
      </w:r>
    </w:p>
    <w:p w14:paraId="3479979D" w14:textId="77777777" w:rsidR="00633816" w:rsidRDefault="00000000">
      <w:pPr>
        <w:jc w:val="both"/>
        <w:rPr>
          <w:rFonts w:eastAsia="Arial"/>
        </w:rPr>
      </w:pPr>
      <w:r>
        <w:rPr>
          <w:rFonts w:eastAsia="Arial"/>
        </w:rPr>
        <w:t xml:space="preserve">- </w:t>
      </w:r>
      <w:r>
        <w:rPr>
          <w:rFonts w:eastAsia="Arial"/>
          <w:b/>
          <w:bCs/>
        </w:rPr>
        <w:t>Supplementary Table S2</w:t>
      </w:r>
      <w:r>
        <w:rPr>
          <w:rFonts w:eastAsia="Arial"/>
        </w:rPr>
        <w:t xml:space="preserve">. Propensity score model coefficients (logistic regression) for Cohort A. File: `Data/SupTableS2_ps_coefficients.docx`. </w:t>
      </w:r>
    </w:p>
    <w:p w14:paraId="6F1E84D9" w14:textId="77777777" w:rsidR="00633816" w:rsidRDefault="00000000">
      <w:pPr>
        <w:jc w:val="both"/>
        <w:rPr>
          <w:rFonts w:eastAsia="Arial"/>
        </w:rPr>
      </w:pPr>
      <w:r>
        <w:rPr>
          <w:rFonts w:eastAsia="Arial"/>
        </w:rPr>
        <w:t xml:space="preserve">- </w:t>
      </w:r>
      <w:r>
        <w:rPr>
          <w:rFonts w:eastAsia="Arial"/>
          <w:b/>
          <w:bCs/>
        </w:rPr>
        <w:t>Supplementary Table S3</w:t>
      </w:r>
      <w:r>
        <w:rPr>
          <w:rFonts w:eastAsia="Arial"/>
        </w:rPr>
        <w:t xml:space="preserve">. Sensitivity analyses for Cohort B (restricted follow-up; adjusted vs. unadjusted). File: `Data/sensitivity_analysis_results.csv`. </w:t>
      </w:r>
    </w:p>
    <w:p w14:paraId="53D9C8FE" w14:textId="77777777" w:rsidR="00633816" w:rsidRDefault="00000000">
      <w:pPr>
        <w:jc w:val="both"/>
        <w:rPr>
          <w:rFonts w:eastAsia="Arial"/>
        </w:rPr>
      </w:pPr>
      <w:r>
        <w:rPr>
          <w:rFonts w:eastAsia="Arial"/>
        </w:rPr>
        <w:t xml:space="preserve">- </w:t>
      </w:r>
      <w:r>
        <w:rPr>
          <w:rFonts w:eastAsia="Arial"/>
          <w:b/>
          <w:bCs/>
        </w:rPr>
        <w:t>Supplementary Table S4</w:t>
      </w:r>
      <w:r>
        <w:rPr>
          <w:rFonts w:eastAsia="Arial"/>
        </w:rPr>
        <w:t xml:space="preserve">. Age- and follow-up-window-stratified subgroup analyses for Cohort B (recurrence). File: `Data/subgroup_analysis_comprehensive.csv`. </w:t>
      </w:r>
    </w:p>
    <w:p w14:paraId="50F96BCD" w14:textId="77777777" w:rsidR="00633816" w:rsidRDefault="00000000">
      <w:pPr>
        <w:jc w:val="both"/>
        <w:rPr>
          <w:rFonts w:eastAsia="Arial"/>
        </w:rPr>
      </w:pPr>
      <w:r>
        <w:rPr>
          <w:rFonts w:eastAsia="Arial"/>
        </w:rPr>
        <w:t xml:space="preserve">- </w:t>
      </w:r>
      <w:r>
        <w:rPr>
          <w:rFonts w:eastAsia="Arial"/>
          <w:b/>
          <w:bCs/>
        </w:rPr>
        <w:t>Supplementary Table S5</w:t>
      </w:r>
      <w:r>
        <w:rPr>
          <w:rFonts w:eastAsia="Arial"/>
        </w:rPr>
        <w:t xml:space="preserve">. Number-at-risk tables for Kaplan–Meier and Aalen–Johansen curves. File: `Data/SupTableS5_number_at_risk.docx`. </w:t>
      </w:r>
    </w:p>
    <w:p w14:paraId="5B603D7E" w14:textId="77777777" w:rsidR="00633816" w:rsidRDefault="00000000">
      <w:pPr>
        <w:jc w:val="both"/>
        <w:rPr>
          <w:rFonts w:eastAsia="Arial"/>
        </w:rPr>
      </w:pPr>
      <w:r>
        <w:rPr>
          <w:rFonts w:eastAsia="Arial"/>
        </w:rPr>
        <w:t xml:space="preserve">- </w:t>
      </w:r>
      <w:r>
        <w:rPr>
          <w:rFonts w:eastAsia="Arial"/>
          <w:b/>
          <w:bCs/>
        </w:rPr>
        <w:t>Supplementary Table S6</w:t>
      </w:r>
      <w:r>
        <w:rPr>
          <w:rFonts w:eastAsia="Arial"/>
        </w:rPr>
        <w:t xml:space="preserve">. Per-vaccine-type detailed results — both pairwise subgroup HRs and single-model interaction-derived HRs with the LRT for vaccine-type heterogeneity. Files: `Data/vaccine_type_analysis.csv`, `Data/CohortB_vaccine_interaction.csv`. </w:t>
      </w:r>
    </w:p>
    <w:p w14:paraId="09CD7B2D" w14:textId="1E757F51" w:rsidR="00633816" w:rsidRDefault="00000000">
      <w:pPr>
        <w:jc w:val="both"/>
        <w:rPr>
          <w:rFonts w:eastAsia="Arial"/>
        </w:rPr>
      </w:pPr>
      <w:r>
        <w:rPr>
          <w:rFonts w:eastAsia="Arial"/>
        </w:rPr>
        <w:t xml:space="preserve">- </w:t>
      </w:r>
      <w:r>
        <w:rPr>
          <w:rFonts w:eastAsia="Arial"/>
          <w:b/>
          <w:bCs/>
        </w:rPr>
        <w:t>Supplementary Table S7</w:t>
      </w:r>
      <w:r>
        <w:rPr>
          <w:rFonts w:eastAsia="Arial"/>
        </w:rPr>
        <w:t xml:space="preserve">. Cluster-robust </w:t>
      </w:r>
      <w:r w:rsidR="003F17B3">
        <w:rPr>
          <w:rFonts w:eastAsia="Arial"/>
        </w:rPr>
        <w:t>HR</w:t>
      </w:r>
      <w:r>
        <w:rPr>
          <w:rFonts w:eastAsia="Arial"/>
        </w:rPr>
        <w:t xml:space="preserve">s with person-years, incidence rates, and Schoenfeld residual p-values for both cohorts. File: `Data/Methodology_Revisions.docx` (Tables R1–R2). </w:t>
      </w:r>
    </w:p>
    <w:p w14:paraId="79830D2A" w14:textId="4A35B780" w:rsidR="003F3F6D" w:rsidRDefault="00000000">
      <w:pPr>
        <w:jc w:val="both"/>
      </w:pPr>
      <w:r>
        <w:rPr>
          <w:rFonts w:eastAsia="Arial"/>
        </w:rPr>
        <w:t xml:space="preserve">- </w:t>
      </w:r>
      <w:r>
        <w:rPr>
          <w:rFonts w:eastAsia="Arial"/>
          <w:b/>
          <w:bCs/>
        </w:rPr>
        <w:t>Supplementary Table S8</w:t>
      </w:r>
      <w:r>
        <w:rPr>
          <w:rFonts w:eastAsia="Arial"/>
        </w:rPr>
        <w:t>. Pseudo-index assignment sensitivity analysis for Cohort A (Any-of-five). File: `Data/CohortA_pseudoindex_sensitivity.csv`.</w:t>
      </w:r>
    </w:p>
    <w:p w14:paraId="339CEB0F" w14:textId="77777777" w:rsidR="003F3F6D" w:rsidRDefault="00000000">
      <w:pPr>
        <w:spacing w:before="240" w:after="120"/>
      </w:pPr>
      <w:r>
        <w:rPr>
          <w:rFonts w:eastAsia="Arial"/>
          <w:b/>
          <w:bCs/>
        </w:rPr>
        <w:lastRenderedPageBreak/>
        <w:t>Recommended graphical abstract</w:t>
      </w:r>
    </w:p>
    <w:p w14:paraId="25F28062" w14:textId="77777777" w:rsidR="003F3F6D" w:rsidRDefault="00000000">
      <w:pPr>
        <w:jc w:val="both"/>
      </w:pPr>
      <w:r>
        <w:rPr>
          <w:rFonts w:eastAsia="Arial"/>
        </w:rPr>
        <w:t>A landscape (1200 × 600 px) graphical abstract is recommended with three panels: (i) Source cohort silhouette ("Korean HPV cohort, N = 32,969") branching into Cohort A (n = 4,102) and Cohort B (n = 1,108); (ii) Cohort A icon (heart + brain + lung representing MCE; pancreas + kidney representing HTN/DM) labelled "No association with chronic disease incidence (HR 1.26, 95% CI 0.75–2.12 for Any-of-5)"; (iii) Cohort B icon (cervix + scalpel + needle) labelled "Post-surgical efficacy: no overall benefit; quadrivalent vaccine reduced HPV reinfection (HR 0.49, interaction LRT p = 0.037)".</w:t>
      </w:r>
    </w:p>
    <w:p w14:paraId="6333F296" w14:textId="77777777" w:rsidR="003F3F6D" w:rsidRDefault="00000000">
      <w:pPr>
        <w:ind w:firstLine="800"/>
        <w:jc w:val="both"/>
      </w:pPr>
      <w:r>
        <w:rPr>
          <w:rFonts w:eastAsia="Arial"/>
        </w:rPr>
        <w:t>This abstract can be produced via the scientific-schematics skill once the manuscript text is finalised.</w:t>
      </w:r>
    </w:p>
    <w:p w14:paraId="5AEE4D2A" w14:textId="77777777" w:rsidR="003F3F6D" w:rsidRDefault="00000000">
      <w:pPr>
        <w:pageBreakBefore/>
        <w:spacing w:after="200" w:line="360" w:lineRule="auto"/>
      </w:pPr>
      <w:r>
        <w:rPr>
          <w:rFonts w:eastAsia="Arial"/>
          <w:b/>
          <w:bCs/>
          <w:sz w:val="28"/>
          <w:szCs w:val="28"/>
        </w:rPr>
        <w:lastRenderedPageBreak/>
        <w:t>Discussion (outline)</w:t>
      </w:r>
    </w:p>
    <w:p w14:paraId="03133AF3" w14:textId="77777777" w:rsidR="003F3F6D" w:rsidRDefault="00000000">
      <w:pPr>
        <w:jc w:val="both"/>
      </w:pPr>
      <w:r>
        <w:rPr>
          <w:rFonts w:eastAsia="Arial"/>
        </w:rPr>
        <w:t>(to be expanded)</w:t>
      </w:r>
    </w:p>
    <w:p w14:paraId="13C924F7" w14:textId="77777777" w:rsidR="003F3F6D" w:rsidRDefault="00000000">
      <w:pPr>
        <w:ind w:firstLine="800"/>
        <w:jc w:val="both"/>
      </w:pPr>
      <w:r>
        <w:rPr>
          <w:rFonts w:eastAsia="Arial"/>
        </w:rPr>
        <w:t>The main findings can be framed around three observations: (i) the absence of any safety signal for major chronic disease over a median follow-up of approximately six years, including the broad Any-of-5 composite; (ii) the absence of an overall protective effect of post-surgical vaccination on lesion recurrence and HPV reinfection in this cohort; and (iii) the outcome- and product-specific signal for the quadrivalent product on HPV reinfection, supported by a formal interaction-test for vaccine-type heterogeneity (likelihood-ratio p = 0.037). These should be situated against the FUTURE I/II trial program, which established prophylactic vaccine efficacy in HPV-naïve women, and against meta-analyses of post-surgical vaccination (Joura et al., Bonde et al., Velentzis et al.) that have yielded inconsistent results, particularly for non-quadrivalent products. The mechanism of the apparent quadrivalent-specific reinfection signal warrants discussion in light of cross-protection profiles and timing of administration relative to surgery.</w:t>
      </w:r>
    </w:p>
    <w:p w14:paraId="269BE36A" w14:textId="1E83D052" w:rsidR="003F3F6D" w:rsidRDefault="00000000">
      <w:pPr>
        <w:ind w:firstLine="800"/>
        <w:jc w:val="both"/>
      </w:pPr>
      <w:r>
        <w:rPr>
          <w:rFonts w:eastAsia="Arial"/>
        </w:rPr>
        <w:t xml:space="preserve">Limitations to be acknowledged include the single-centre design, the modest absolute number of cardiovascular events (limiting power for the MCE composite), the dependence of HPV reinfection ascertainment on opportunistic testing, the absence of granular data on socioeconomic status, sexual behaviour, and partner vaccination, and the residual potential for unmeasured confounding despite propensity score and fine matching. Several methodological caveats also merit explicit mention. First, the pseudo-index assignment used to anchor follow-up time for unvaccinated controls in Cohort A is not unique; we therefore conducted a sensitivity analysis comparing three reasonable strategies and observed concordant results. Second, the original 1:4 fine-matched Cohort B subgroup analysis by vaccine type reused non-vaccinated controls across pairwise comparisons; we addressed this by re-formulating the analysis as a single Cox model with vaccine-type × vaccination interaction terms and a likelihood-ratio test, which appropriately accounts for the dependence among controls and continues to support a Gardasil-specific signal for HPV reinfection. Third, </w:t>
      </w:r>
      <w:r>
        <w:rPr>
          <w:rFonts w:eastAsia="Arial"/>
        </w:rPr>
        <w:lastRenderedPageBreak/>
        <w:t xml:space="preserve">with only two pre-specified primary outcomes in Cohort B we report Bonferroni-adjusted p-values and 97.5% </w:t>
      </w:r>
      <w:r w:rsidR="003F17B3">
        <w:rPr>
          <w:rFonts w:eastAsia="Arial"/>
        </w:rPr>
        <w:t>CI</w:t>
      </w:r>
      <w:r>
        <w:rPr>
          <w:rFonts w:eastAsia="Arial"/>
        </w:rPr>
        <w:t>s; the subgroup and interaction findings are explicitly framed as hypothesis-generating. The combination of a long-followed prospective cohort with retrospective CDW augmentation is, however, a methodological strength that allowed us to track clinically important outcomes that would have been undetectable in shorter follow-up windows, while the use of cluster-robust standard errors based on the matched-pair (Cohort A) and fine-matching (Cohort B) identifiers, together with proportional-hazards assumption testing, provides a methodologically conservative inferential framework.</w:t>
      </w:r>
    </w:p>
    <w:sectPr w:rsidR="003F3F6D">
      <w:headerReference w:type="default" r:id="rId11"/>
      <w:footerReference w:type="default" r:id="rId12"/>
      <w:pgSz w:w="11906" w:h="16838"/>
      <w:pgMar w:top="1440" w:right="1440" w:bottom="1440" w:left="1440" w:header="708" w:footer="708" w:gutter="0"/>
      <w:lnNumType w:countBy="1"/>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uein choi" w:date="2026-04-30T23:26:00Z" w:initials="sc">
    <w:p w14:paraId="384A0835" w14:textId="77777777" w:rsidR="00633816" w:rsidRDefault="00633816" w:rsidP="00633816">
      <w:r>
        <w:rPr>
          <w:rStyle w:val="CommentReference"/>
        </w:rPr>
        <w:annotationRef/>
      </w:r>
      <w:r>
        <w:rPr>
          <w:rFonts w:hint="eastAsia"/>
          <w:sz w:val="20"/>
          <w:szCs w:val="20"/>
        </w:rPr>
        <w:t>확인</w:t>
      </w:r>
      <w:r>
        <w:rPr>
          <w:rFonts w:hint="eastAsia"/>
          <w:sz w:val="20"/>
          <w:szCs w:val="20"/>
        </w:rPr>
        <w:t xml:space="preserve"> </w:t>
      </w:r>
      <w:r>
        <w:rPr>
          <w:rFonts w:hint="eastAsia"/>
          <w:sz w:val="20"/>
          <w:szCs w:val="20"/>
        </w:rPr>
        <w:t>부탁드립니다</w:t>
      </w:r>
    </w:p>
  </w:comment>
  <w:comment w:id="2" w:author="suein choi" w:date="2026-04-30T23:26:00Z" w:initials="sc">
    <w:p w14:paraId="6BD4D9A4" w14:textId="77777777" w:rsidR="00633816" w:rsidRDefault="00633816" w:rsidP="00633816">
      <w:r>
        <w:rPr>
          <w:rStyle w:val="CommentReference"/>
        </w:rPr>
        <w:annotationRef/>
      </w:r>
      <w:r>
        <w:rPr>
          <w:rFonts w:hint="eastAsia"/>
          <w:sz w:val="20"/>
          <w:szCs w:val="20"/>
        </w:rPr>
        <w:t>확인</w:t>
      </w:r>
      <w:r>
        <w:rPr>
          <w:rFonts w:hint="eastAsia"/>
          <w:sz w:val="20"/>
          <w:szCs w:val="20"/>
        </w:rPr>
        <w:t xml:space="preserve"> </w:t>
      </w:r>
      <w:r>
        <w:rPr>
          <w:rFonts w:hint="eastAsia"/>
          <w:sz w:val="20"/>
          <w:szCs w:val="20"/>
        </w:rPr>
        <w:t>부탁</w:t>
      </w:r>
    </w:p>
  </w:comment>
  <w:comment w:id="3" w:author="suein choi" w:date="2026-05-01T00:48:00Z" w:initials="sc">
    <w:p w14:paraId="0E9AD7F5" w14:textId="77777777" w:rsidR="000934E0" w:rsidRDefault="000934E0" w:rsidP="000934E0">
      <w:r>
        <w:rPr>
          <w:rStyle w:val="CommentReference"/>
        </w:rPr>
        <w:annotationRef/>
      </w:r>
      <w:r>
        <w:rPr>
          <w:rFonts w:hint="eastAsia"/>
          <w:sz w:val="20"/>
          <w:szCs w:val="20"/>
        </w:rPr>
        <w:t>확인</w:t>
      </w:r>
      <w:r>
        <w:rPr>
          <w:rFonts w:hint="eastAsia"/>
          <w:sz w:val="20"/>
          <w:szCs w:val="20"/>
        </w:rPr>
        <w:t xml:space="preserve"> </w:t>
      </w:r>
      <w:r>
        <w:rPr>
          <w:rFonts w:hint="eastAsia"/>
          <w:sz w:val="20"/>
          <w:szCs w:val="20"/>
        </w:rPr>
        <w:t>부탁드립니다</w:t>
      </w:r>
      <w:r>
        <w:rPr>
          <w:sz w:val="20"/>
          <w:szCs w:val="20"/>
        </w:rPr>
        <w:t>..</w:t>
      </w:r>
    </w:p>
    <w:p w14:paraId="541221C0" w14:textId="77777777" w:rsidR="000934E0" w:rsidRDefault="000934E0" w:rsidP="000934E0"/>
  </w:comment>
  <w:comment w:id="6" w:author="suein choi" w:date="2026-05-01T00:49:00Z" w:initials="sc">
    <w:p w14:paraId="08617254" w14:textId="77777777" w:rsidR="000934E0" w:rsidRPr="00F953F7" w:rsidRDefault="000934E0" w:rsidP="000934E0">
      <w:pPr>
        <w:rPr>
          <w:lang w:val="en-US"/>
        </w:rPr>
      </w:pPr>
      <w:r>
        <w:rPr>
          <w:rStyle w:val="CommentReference"/>
        </w:rPr>
        <w:annotationRef/>
      </w:r>
      <w:r>
        <w:rPr>
          <w:rFonts w:hint="eastAsia"/>
          <w:sz w:val="20"/>
          <w:szCs w:val="20"/>
        </w:rPr>
        <w:t>표</w:t>
      </w:r>
      <w:r>
        <w:rPr>
          <w:rFonts w:hint="eastAsia"/>
          <w:sz w:val="20"/>
          <w:szCs w:val="20"/>
        </w:rPr>
        <w:t xml:space="preserve"> </w:t>
      </w:r>
      <w:r>
        <w:rPr>
          <w:rFonts w:hint="eastAsia"/>
          <w:sz w:val="20"/>
          <w:szCs w:val="20"/>
        </w:rPr>
        <w:t>확인하시고</w:t>
      </w:r>
      <w:r>
        <w:rPr>
          <w:rFonts w:hint="eastAsia"/>
          <w:sz w:val="20"/>
          <w:szCs w:val="20"/>
        </w:rPr>
        <w:t xml:space="preserve"> </w:t>
      </w:r>
      <w:r>
        <w:rPr>
          <w:rFonts w:hint="eastAsia"/>
          <w:sz w:val="20"/>
          <w:szCs w:val="20"/>
        </w:rPr>
        <w:t>필요한</w:t>
      </w:r>
      <w:r>
        <w:rPr>
          <w:rFonts w:hint="eastAsia"/>
          <w:sz w:val="20"/>
          <w:szCs w:val="20"/>
        </w:rPr>
        <w:t xml:space="preserve"> </w:t>
      </w:r>
      <w:r>
        <w:rPr>
          <w:rFonts w:hint="eastAsia"/>
          <w:sz w:val="20"/>
          <w:szCs w:val="20"/>
        </w:rPr>
        <w:t>내용</w:t>
      </w:r>
      <w:r>
        <w:rPr>
          <w:rFonts w:hint="eastAsia"/>
          <w:sz w:val="20"/>
          <w:szCs w:val="20"/>
        </w:rPr>
        <w:t xml:space="preserve"> </w:t>
      </w:r>
      <w:r>
        <w:rPr>
          <w:rFonts w:hint="eastAsia"/>
          <w:sz w:val="20"/>
          <w:szCs w:val="20"/>
        </w:rPr>
        <w:t>추가하시면</w:t>
      </w:r>
      <w:r>
        <w:rPr>
          <w:rFonts w:hint="eastAsia"/>
          <w:sz w:val="20"/>
          <w:szCs w:val="20"/>
        </w:rPr>
        <w:t xml:space="preserve"> </w:t>
      </w:r>
      <w:r>
        <w:rPr>
          <w:rFonts w:hint="eastAsia"/>
          <w:sz w:val="20"/>
          <w:szCs w:val="20"/>
        </w:rPr>
        <w:t>될</w:t>
      </w:r>
      <w:r>
        <w:rPr>
          <w:rFonts w:hint="eastAsia"/>
          <w:sz w:val="20"/>
          <w:szCs w:val="20"/>
        </w:rPr>
        <w:t xml:space="preserve"> </w:t>
      </w:r>
      <w:r>
        <w:rPr>
          <w:rFonts w:hint="eastAsia"/>
          <w:sz w:val="20"/>
          <w:szCs w:val="20"/>
        </w:rPr>
        <w:t>거</w:t>
      </w:r>
      <w:r>
        <w:rPr>
          <w:rFonts w:hint="eastAsia"/>
          <w:sz w:val="20"/>
          <w:szCs w:val="20"/>
        </w:rPr>
        <w:t xml:space="preserve"> </w:t>
      </w:r>
      <w:r>
        <w:rPr>
          <w:rFonts w:hint="eastAsia"/>
          <w:sz w:val="20"/>
          <w:szCs w:val="20"/>
        </w:rPr>
        <w:t>같습니다</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84A0835" w15:done="0"/>
  <w15:commentEx w15:paraId="6BD4D9A4" w15:done="0"/>
  <w15:commentEx w15:paraId="541221C0" w15:done="0"/>
  <w15:commentEx w15:paraId="086172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00999E5" w16cex:dateUtc="2026-04-30T14:26:00Z"/>
  <w16cex:commentExtensible w16cex:durableId="7654660B" w16cex:dateUtc="2026-04-30T14:26:00Z"/>
  <w16cex:commentExtensible w16cex:durableId="7B1E74FA" w16cex:dateUtc="2026-04-30T15:48:00Z"/>
  <w16cex:commentExtensible w16cex:durableId="42FEBEB4" w16cex:dateUtc="2026-04-30T15: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84A0835" w16cid:durableId="400999E5"/>
  <w16cid:commentId w16cid:paraId="6BD4D9A4" w16cid:durableId="7654660B"/>
  <w16cid:commentId w16cid:paraId="541221C0" w16cid:durableId="7B1E74FA"/>
  <w16cid:commentId w16cid:paraId="08617254" w16cid:durableId="42FEBEB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71581C" w14:textId="77777777" w:rsidR="00213BDD" w:rsidRDefault="00213BDD">
      <w:pPr>
        <w:spacing w:line="240" w:lineRule="auto"/>
      </w:pPr>
      <w:r>
        <w:separator/>
      </w:r>
    </w:p>
  </w:endnote>
  <w:endnote w:type="continuationSeparator" w:id="0">
    <w:p w14:paraId="78964279" w14:textId="77777777" w:rsidR="00213BDD" w:rsidRDefault="00213B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E1C970" w14:textId="5EA150D5" w:rsidR="003F3F6D" w:rsidRDefault="00000000">
    <w:pPr>
      <w:jc w:val="center"/>
    </w:pPr>
    <w:r>
      <w:fldChar w:fldCharType="begin"/>
    </w:r>
    <w:r>
      <w:rPr>
        <w:rFonts w:eastAsia="Arial"/>
      </w:rPr>
      <w:instrText>PAGE</w:instrText>
    </w:r>
    <w:r>
      <w:fldChar w:fldCharType="separate"/>
    </w:r>
    <w:r w:rsidR="0063381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9EC9F" w14:textId="77777777" w:rsidR="00213BDD" w:rsidRDefault="00213BDD">
      <w:pPr>
        <w:spacing w:line="240" w:lineRule="auto"/>
      </w:pPr>
      <w:r>
        <w:separator/>
      </w:r>
    </w:p>
  </w:footnote>
  <w:footnote w:type="continuationSeparator" w:id="0">
    <w:p w14:paraId="462D0CB0" w14:textId="77777777" w:rsidR="00213BDD" w:rsidRDefault="00213B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DF5D2" w14:textId="77777777" w:rsidR="003F3F6D" w:rsidRDefault="00000000">
    <w:pPr>
      <w:jc w:val="right"/>
    </w:pPr>
    <w:r>
      <w:rPr>
        <w:rFonts w:eastAsia="Arial"/>
        <w:i/>
        <w:iCs/>
        <w:sz w:val="18"/>
        <w:szCs w:val="18"/>
      </w:rPr>
      <w:t>HPV vaccination safety and post-surgical efficacy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DD30EC"/>
    <w:multiLevelType w:val="hybridMultilevel"/>
    <w:tmpl w:val="0B38B48E"/>
    <w:lvl w:ilvl="0" w:tplc="556A243E">
      <w:start w:val="1"/>
      <w:numFmt w:val="bullet"/>
      <w:lvlText w:val="●"/>
      <w:lvlJc w:val="left"/>
      <w:pPr>
        <w:ind w:left="720" w:hanging="360"/>
      </w:pPr>
    </w:lvl>
    <w:lvl w:ilvl="1" w:tplc="D69C97AA">
      <w:start w:val="1"/>
      <w:numFmt w:val="bullet"/>
      <w:lvlText w:val="○"/>
      <w:lvlJc w:val="left"/>
      <w:pPr>
        <w:ind w:left="1440" w:hanging="360"/>
      </w:pPr>
    </w:lvl>
    <w:lvl w:ilvl="2" w:tplc="FC22417C">
      <w:start w:val="1"/>
      <w:numFmt w:val="bullet"/>
      <w:lvlText w:val="■"/>
      <w:lvlJc w:val="left"/>
      <w:pPr>
        <w:ind w:left="2160" w:hanging="360"/>
      </w:pPr>
    </w:lvl>
    <w:lvl w:ilvl="3" w:tplc="A8820EC6">
      <w:start w:val="1"/>
      <w:numFmt w:val="bullet"/>
      <w:lvlText w:val="●"/>
      <w:lvlJc w:val="left"/>
      <w:pPr>
        <w:ind w:left="2880" w:hanging="360"/>
      </w:pPr>
    </w:lvl>
    <w:lvl w:ilvl="4" w:tplc="19E263EE">
      <w:start w:val="1"/>
      <w:numFmt w:val="bullet"/>
      <w:lvlText w:val="○"/>
      <w:lvlJc w:val="left"/>
      <w:pPr>
        <w:ind w:left="3600" w:hanging="360"/>
      </w:pPr>
    </w:lvl>
    <w:lvl w:ilvl="5" w:tplc="153E5E80">
      <w:start w:val="1"/>
      <w:numFmt w:val="bullet"/>
      <w:lvlText w:val="■"/>
      <w:lvlJc w:val="left"/>
      <w:pPr>
        <w:ind w:left="4320" w:hanging="360"/>
      </w:pPr>
    </w:lvl>
    <w:lvl w:ilvl="6" w:tplc="B1C0B460">
      <w:start w:val="1"/>
      <w:numFmt w:val="bullet"/>
      <w:lvlText w:val="●"/>
      <w:lvlJc w:val="left"/>
      <w:pPr>
        <w:ind w:left="5040" w:hanging="360"/>
      </w:pPr>
    </w:lvl>
    <w:lvl w:ilvl="7" w:tplc="4846FBC8">
      <w:start w:val="1"/>
      <w:numFmt w:val="bullet"/>
      <w:lvlText w:val="●"/>
      <w:lvlJc w:val="left"/>
      <w:pPr>
        <w:ind w:left="5760" w:hanging="360"/>
      </w:pPr>
    </w:lvl>
    <w:lvl w:ilvl="8" w:tplc="BD38C474">
      <w:start w:val="1"/>
      <w:numFmt w:val="bullet"/>
      <w:lvlText w:val="●"/>
      <w:lvlJc w:val="left"/>
      <w:pPr>
        <w:ind w:left="6480" w:hanging="360"/>
      </w:pPr>
    </w:lvl>
  </w:abstractNum>
  <w:num w:numId="1" w16cid:durableId="467816838">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uein choi">
    <w15:presenceInfo w15:providerId="AD" w15:userId="S::mychloe00@catholic.ac.kr::a7099c93-7fe5-418e-888b-02edeb3336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3F6D"/>
    <w:rsid w:val="000934E0"/>
    <w:rsid w:val="00213BDD"/>
    <w:rsid w:val="002D3D1A"/>
    <w:rsid w:val="00347A2B"/>
    <w:rsid w:val="003F17B3"/>
    <w:rsid w:val="003F3F6D"/>
    <w:rsid w:val="00633816"/>
    <w:rsid w:val="008001CA"/>
    <w:rsid w:val="00D13844"/>
    <w:rsid w:val="00DE5C8B"/>
    <w:rsid w:val="00E578F6"/>
    <w:rsid w:val="00E714E1"/>
    <w:rsid w:val="00F953F7"/>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22235CB7"/>
  <w15:docId w15:val="{27D72363-080C-7C41-BDB0-3ED4CE646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KR" w:eastAsia="ko-KR"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633816"/>
  </w:style>
  <w:style w:type="character" w:styleId="CommentReference">
    <w:name w:val="annotation reference"/>
    <w:basedOn w:val="DefaultParagraphFont"/>
    <w:uiPriority w:val="99"/>
    <w:semiHidden/>
    <w:unhideWhenUsed/>
    <w:rsid w:val="00633816"/>
    <w:rPr>
      <w:sz w:val="16"/>
      <w:szCs w:val="16"/>
    </w:rPr>
  </w:style>
  <w:style w:type="paragraph" w:styleId="CommentText">
    <w:name w:val="annotation text"/>
    <w:basedOn w:val="Normal"/>
    <w:link w:val="CommentTextChar"/>
    <w:uiPriority w:val="99"/>
    <w:semiHidden/>
    <w:unhideWhenUsed/>
    <w:rsid w:val="00633816"/>
    <w:pPr>
      <w:spacing w:line="240" w:lineRule="auto"/>
    </w:pPr>
    <w:rPr>
      <w:sz w:val="20"/>
      <w:szCs w:val="20"/>
    </w:rPr>
  </w:style>
  <w:style w:type="character" w:customStyle="1" w:styleId="CommentTextChar">
    <w:name w:val="Comment Text Char"/>
    <w:basedOn w:val="DefaultParagraphFont"/>
    <w:link w:val="CommentText"/>
    <w:uiPriority w:val="99"/>
    <w:semiHidden/>
    <w:rsid w:val="00633816"/>
    <w:rPr>
      <w:sz w:val="20"/>
      <w:szCs w:val="20"/>
    </w:rPr>
  </w:style>
  <w:style w:type="paragraph" w:styleId="CommentSubject">
    <w:name w:val="annotation subject"/>
    <w:basedOn w:val="CommentText"/>
    <w:next w:val="CommentText"/>
    <w:link w:val="CommentSubjectChar"/>
    <w:uiPriority w:val="99"/>
    <w:semiHidden/>
    <w:unhideWhenUsed/>
    <w:rsid w:val="00633816"/>
    <w:rPr>
      <w:b/>
      <w:bCs/>
    </w:rPr>
  </w:style>
  <w:style w:type="character" w:customStyle="1" w:styleId="CommentSubjectChar">
    <w:name w:val="Comment Subject Char"/>
    <w:basedOn w:val="CommentTextChar"/>
    <w:link w:val="CommentSubject"/>
    <w:uiPriority w:val="99"/>
    <w:semiHidden/>
    <w:rsid w:val="00633816"/>
    <w:rPr>
      <w:b/>
      <w:bCs/>
      <w:sz w:val="20"/>
      <w:szCs w:val="20"/>
    </w:rPr>
  </w:style>
  <w:style w:type="paragraph" w:customStyle="1" w:styleId="font-claude-response-body">
    <w:name w:val="font-claude-response-body"/>
    <w:basedOn w:val="Normal"/>
    <w:rsid w:val="00D1384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DE5C8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3398</Words>
  <Characters>19372</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suein choi</cp:lastModifiedBy>
  <cp:revision>3</cp:revision>
  <dcterms:created xsi:type="dcterms:W3CDTF">2026-04-30T15:49:00Z</dcterms:created>
  <dcterms:modified xsi:type="dcterms:W3CDTF">2026-04-30T16:16:00Z</dcterms:modified>
</cp:coreProperties>
</file>