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Supplementary Materials</w:t>
      </w:r>
    </w:p>
    <w:p>
      <w:pPr>
        <w:spacing w:after="0" w:line="480"/>
      </w:pPr>
    </w:p>
    <w:p>
      <w:pPr>
        <w:spacing w:after="0" w:line="36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Long-term safety and post-surgical efficacy of HPV vaccination in women with cervical intraepithelial lesions</w:t>
      </w:r>
    </w:p>
    <w:p>
      <w:pPr>
        <w:spacing w:after="0" w:line="480"/>
      </w:pPr>
    </w:p>
    <w:p>
      <w:pPr>
        <w:spacing w:after="0" w:line="480"/>
      </w:pP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S1. Pre-matching baseline characteristics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S2. Propensity score model coefficients (Cohort A)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S3. Sensitivity analyses for Cohort B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S4. Age- and follow-up-stratified subgroup analyses (Cohort B, recurrence)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S5. Number-at-risk tables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S6. Vaccine-type detailed results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S7. Schoenfeld residual test results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S8. Pseudo-index assignment sensitivity analysis (Cohort A)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S1. Love plot — Cohort A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S2. Love plot — Cohort B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S3. Propensity-score density distributions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S4. Age × follow-up subgroup forest plot (Cohort B)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S5. Schoenfeld residual plots — Cohort A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S6. Schoenfeld residual plots — Cohort B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S1. Pre-matching baseline characteristics of the source population before propensity-score matching (Cohort A) and before fine matching (Cohort B).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Cohort A (pre-matching)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2200"/>
        <w:gridCol w:w="900"/>
        <w:gridCol w:w="900"/>
      </w:tblGrid>
      <w:tr>
        <w:tc>
          <w:tcPr>
            <w:tcW w:type="dxa" w:w="3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Vaccinated (n=2,156)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Non-vaccinated (n=30,813)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|SMD|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Demographics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Age at index, years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33.46 ± 9.18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46.90 ± 14.50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Birth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1982.32 ± 10.10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1968.93 ± 13.91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Index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2015.73 ± 4.11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2015.77 ± 4.11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0.703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Residence in Seoul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739 (34.3%)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9031 (29.3%)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Anthropometry &amp; Vital signs (closest to index, ±1 yr)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Height, cm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161.37 ± 5.32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158.56 ± 6.63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Weight, kg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57.51 ± 9.74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57.82 ± 9.73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BMI, kg/m²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22.12 ± 3.53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23.34 ± 10.32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0.16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Systolic BP, mmHg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112.98 ± 13.20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119.74 ± 17.43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Diastolic BP, mmHg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70.74 ± 11.20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74.18 ± 15.67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Smoking status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Never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675 (31.3%)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6582 (21.4%)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Former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(0.5%)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(0.3%)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0.248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Current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 (1.7%)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246 (0.8%)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0.08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1434 (66.5%)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23885 (77.5%)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Pre-existing comorbidities (before index)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 (0.0%)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(0.5%)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 (0.4%)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0.468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 (0.6%)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 (0.4%)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(0.0%)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(0.0%)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Composite (any of 5)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 (1.1%)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227 (0.7%)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0.071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Follow-up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Follow-up, days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2134.52 ± 1733.35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2058.48 ± 2146.15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Mortality during follow-up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 (0.3%)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283 (0.9%)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0.08</w:t>
            </w:r>
          </w:p>
        </w:tc>
      </w:tr>
    </w:tbl>
    <w:p>
      <w:pPr>
        <w:spacing w:after="0" w:line="480"/>
      </w:pP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Cohort B (pre-matching)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2200"/>
        <w:gridCol w:w="900"/>
        <w:gridCol w:w="900"/>
      </w:tblGrid>
      <w:tr>
        <w:tc>
          <w:tcPr>
            <w:tcW w:type="dxa" w:w="3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Vaccinated (n=566)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Non-vaccinated (n=6,324)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|SMD|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Demographics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Age at index, years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36.40 ± 9.40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49.31 ± 12.94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Birth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1979.96 ± 10.11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1968.29 ± 13.07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Index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2016.32 ± 4.24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2017.53 ± 4.01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Residence in Seoul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 (29.0%)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1320 (20.9%)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0.19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Anthropometry &amp; Vital signs (closest to index, ±1 yr)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Height, cm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161.21 ± 5.39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157.99 ± 6.51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Weight, kg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57.47 ± 9.65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58.12 ± 9.72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0.227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0.07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BMI, kg/m²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22.12 ± 3.54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23.56 ± 9.25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Systolic BP, mmHg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113.22 ± 13.44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117.45 ± 15.68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Diastolic BP, mmHg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72.17 ± 11.04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73.36 ± 11.60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Smoking status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Never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207 (36.6%)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3380 (53.4%)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Former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(0.5%)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 (0.5%)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0.756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Current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 (3.0%)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146 (2.3%)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339 (59.9%)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2767 (43.8%)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Pre-existing comorbidities (before index)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(0.1%)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(0.9%)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132 (2.1%)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(0.7%)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154 (2.4%)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 (0.2%)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0.06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(0.1%)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Composite (any of 5)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(1.6%)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262 (4.1%)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Surgery type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Conization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545 (96.3%)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4965 (78.5%)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0.56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Hysterectomy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 (3.7%)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1359 (21.5%)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0.56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Age at surgery, years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36.81 ± 9.41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48.67 ± 12.91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Surgery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2016.72 ± 4.22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2016.89 ± 3.87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Surgery → index, days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-149.37 ± 954.96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232.33 ± 381.31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Follow-up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Follow-up, days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2082.03 ± 1615.73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1623.30 ± 1491.23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Mortality during follow-up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(0.2%)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 (1.2%)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Abbreviations: BMI, body-mass index; BP, blood pressure; SMD, standardised mean difference.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S2. Logistic regression coefficients for propensity score estimation (Cohort A).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500"/>
        <w:gridCol w:w="1200"/>
        <w:gridCol w:w="1200"/>
        <w:gridCol w:w="1200"/>
      </w:tblGrid>
      <w:tr>
        <w:tc>
          <w:tcPr>
            <w:tcW w:type="dxa" w:w="2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Covariate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(Vac)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(Non-vac)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β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Std β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age_at_index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33.51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46.30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-0.0781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-1.1427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0.925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bmi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-0.0218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-0.0867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0.978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bmi_miss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1.047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sbp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115.95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118.72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-0.0066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-0.0481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0.993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sbp_miss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-0.7555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-0.2943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dbp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72.22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73.71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-0.0005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-0.0031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dbp_miss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-0.7906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-0.3078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0.454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is_seoul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0.0288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1.029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smoke_Never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0.6398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1.896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smoke_Former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0.0255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1.557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smoke_Current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0.5130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0.0448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1.670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Reference category for smoking: Unknown. OR, odds ratio.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S3. Sensitivity analyses for Cohort B (age-adjusted Cox models).</w:t>
      </w: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Lesion recurrence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0"/>
        <w:gridCol w:w="700"/>
        <w:gridCol w:w="2200"/>
        <w:gridCol w:w="1200"/>
      </w:tblGrid>
      <w:tr>
        <w:tc>
          <w:tcPr>
            <w:tcW w:type="dxa" w:w="2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Analysis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Events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Baseline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 (0.41–1.40)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0.374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(180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0.73 (0.33–1.59)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0.428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(365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885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0.71 (0.29–1.74)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0.457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(2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0.60 (0.27–1.37)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0.226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(3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0.81 (0.40–1.64)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0.559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(5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0.77 (0.41–1.47)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0.428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Exclude Early (Exclude events before 180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0.73 (0.33–1.59)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0.428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Exclude Early (Exclude events before 365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917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0.71 (0.29–1.74)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0.457</w:t>
            </w:r>
          </w:p>
        </w:tc>
      </w:tr>
    </w:tbl>
    <w:p>
      <w:pPr>
        <w:spacing w:after="0" w:line="480"/>
      </w:pP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HPV reinfection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0"/>
        <w:gridCol w:w="700"/>
        <w:gridCol w:w="2200"/>
        <w:gridCol w:w="1200"/>
      </w:tblGrid>
      <w:tr>
        <w:tc>
          <w:tcPr>
            <w:tcW w:type="dxa" w:w="2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Analysis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Events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Baseline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592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0.92 (0.77–1.11)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0.400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(180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1.20 (0.95–1.53)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0.132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(365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1.17 (0.84–1.62)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0.353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(2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0.89 (0.72–1.09)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0.253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(3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0.89 (0.73–1.09)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0.249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(5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0.92 (0.76–1.11)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0.378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Exclude Early (Exclude events before 180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1.19 (0.94–1.51)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0.153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Exclude Early (Exclude events before 365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1.17 (0.84–1.62)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0.353</w:t>
            </w:r>
          </w:p>
        </w:tc>
      </w:tr>
    </w:tbl>
    <w:p>
      <w:pPr>
        <w:spacing w:after="0" w:line="480"/>
      </w:pPr>
    </w:p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FU, follow-up.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S4. Exploratory subgroup analyses of lesion recurrence by age group and follow-up duration (Cohort B).</w:t>
      </w:r>
    </w:p>
    <w:tbl>
      <w:tblPr>
        <w:tblW w:type="dxa" w:w="7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"/>
        <w:gridCol w:w="700"/>
        <w:gridCol w:w="700"/>
        <w:gridCol w:w="2200"/>
        <w:gridCol w:w="1200"/>
      </w:tblGrid>
      <w:tr>
        <w:tc>
          <w:tcPr>
            <w:tcW w:type="dxa" w:w="1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Stratum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(Vac)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(Ctl)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ages, 1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0.78 (0.35–1.75)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0.546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ages, 2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0.62 (0.28–1.37)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0.236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ages, 4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 (0.37–1.42)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0.342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ages, Full follow-up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0.80 (0.44–1.44)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0.452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&lt;40 years, 1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0.57 (0.13–2.55)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0.465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&lt;40 years, 2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 (0.10–1.86)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&lt;40 years, 4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0.48 (0.14–1.60)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0.230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&lt;40 years, Full follow-up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0.69 (0.27–1.79)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0.445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40–49 years, 1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 (0.03–1.86)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0.175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40–49 years, 2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0.22 (0.03–1.64)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0.139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40–49 years, 4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0.54 (0.17–1.77)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0.313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40–49 years, Full follow-up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 (0.14–1.45)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0.182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≥50 years, 1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4.11 (0.84–20.05)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0.080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≥50 years, 2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2.60 (0.66–10.32)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0.173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≥50 years, 4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2.60 (0.66–10.32)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0.173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≥50 years, Full follow-up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3.23 (0.90–11.54)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0.071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Ev, events; Vac, vaccinated; Ctl, control; HR, hazard ratio; CI, confidence interval. Age-adjusted Cox models with cluster-robust standard errors.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S5. Number at risk at yearly intervals for survival curve analyses.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</w:tblGrid>
      <w:tr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Group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 yr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Any-of-5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1721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1324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1138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835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635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Any-of-5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1898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1763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914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MCE (MI/Stroke/PE)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653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MCE (MI/Stroke/PE)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928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Angina/MI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653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Angina/MI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1782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928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Hypertension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1524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1335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843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647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Hypertension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1775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1654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925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Diabetes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1523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1331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642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Diabetes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1905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1771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919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Stroke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654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Stroke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1782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929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PE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654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PE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929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Lesion recurrence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Lesion recurrence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805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233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HPV reinfection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HPV reinfection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Vac, vaccinated; Ctl, control/non-vaccinated.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S6. Vaccine-type detailed results: pairwise subgroup hazard ratios and interaction-model results (Cohort B).</w:t>
      </w: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A. Pairwise subgroup analysis</w:t>
      </w:r>
    </w:p>
    <w:tbl>
      <w:tblPr>
        <w:tblW w:type="dxa" w:w="7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00"/>
        <w:gridCol w:w="600"/>
        <w:gridCol w:w="600"/>
        <w:gridCol w:w="600"/>
        <w:gridCol w:w="2200"/>
        <w:gridCol w:w="1200"/>
      </w:tblGrid>
      <w:tr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Vaccine (Outcome)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Vac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Ctl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Vac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Ctl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Gardasil9 (recurrence)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0.61 (0.24–1.60)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0.3173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Cervarix (recurrence)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1.13 (0.45–2.85)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0.7882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 (recurrence)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 (0.17–3.49)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0.7262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Gardasil9 (hpv)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 (0.72–1.16)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0.4344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Cervarix (hpv)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1.28 (0.93–1.74)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0.1255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 (hpv)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0.40 (0.21–0.75)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0.0041</w:t>
            </w:r>
          </w:p>
        </w:tc>
      </w:tr>
    </w:tbl>
    <w:p>
      <w:pPr>
        <w:spacing w:after="0" w:line="480"/>
      </w:pP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B. Interaction model (likelihood-ratio test)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00"/>
        <w:gridCol w:w="800"/>
        <w:gridCol w:w="1500"/>
        <w:gridCol w:w="1500"/>
        <w:gridCol w:w="1500"/>
      </w:tblGrid>
      <w:tr>
        <w:tc>
          <w:tcPr>
            <w:tcW w:type="dxa" w:w="1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1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LRT χ²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df</w:t>
            </w:r>
          </w:p>
        </w:tc>
        <w:tc>
          <w:tcPr>
            <w:tcW w:type="dxa" w:w="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Gardasil 9 HR (95% CI)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Cervarix HR (95% CI)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Gardasil HR (95% CI)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χ²=0.27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 (0.29–1.97)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 (0.38–2.43)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0.63 (0.14–2.87)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 reinfection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χ²=6.60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1.10 (0.90–1.33)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1.11 (0.81–1.51)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0.49 (0.26–0.93)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LRT, likelihood-ratio test. Reference category for vaccine type: Gardasil 9 (nonavalent). Ev, events; Vac, vaccinated; Ctl, control.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S7. Proportional-hazards assumption assessment by Schoenfeld residual rank test.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200"/>
        <w:gridCol w:w="1200"/>
        <w:gridCol w:w="1200"/>
      </w:tblGrid>
      <w:tr>
        <w:tc>
          <w:tcPr>
            <w:tcW w:type="dxa" w:w="1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Cohort</w:t>
            </w:r>
          </w:p>
        </w:tc>
        <w:tc>
          <w:tcPr>
            <w:tcW w:type="dxa" w:w="2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 (HR)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Schoenfeld p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Any-of-5 (cause-specific)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1.26 (0.75–2.12)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MCE (cause-specific)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1.96 (0.31–12.44)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0.045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 (cause-specific)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1.25 (0.68–2.28)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 (cause-specific)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1.49 (0.53–4.18)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 (0.43–1.33)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0.59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 reinfection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 (0.83–1.14)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MCE, Major Cardiovascular Events. "—" indicates test not performed (insufficient events). Cluster-robust standard errors used throughout.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S8. Pseudo-index assignment sensitivity analysis for the Any-of-five composite (Cohort A).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600"/>
        <w:gridCol w:w="600"/>
        <w:gridCol w:w="600"/>
        <w:gridCol w:w="2200"/>
        <w:gridCol w:w="1000"/>
      </w:tblGrid>
      <w:tr>
        <w:tc>
          <w:tcPr>
            <w:tcW w:type="dxa" w:w="2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Strategy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Vac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Ctl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Vac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Ctl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Random sample (primary)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1.26 (0.75–2.12)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0.377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Time-matched (calendar year)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2064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1.27 (0.75–2.15)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0.378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Risk-set sampling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1096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1.21 (0.55–2.66)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0.627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Ev, events; Vac, vaccinated; Ctl, control.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S1. Love plot showing absolute standardised mean differences before and after propensity-score matching (Cohort A).</w:t>
      </w:r>
    </w:p>
    <w:p>
      <w:pPr>
        <w:spacing w:after="120" w:line="240"/>
        <w:jc w:val="center"/>
      </w:pPr>
      <w:r>
        <w:drawing>
          <wp:inline distT="0" distB="0" distL="0" distR="0">
            <wp:extent cx="4762500" cy="3571875"/>
            <wp:effectExtent t="0" r="0" b="0" l="0"/>
            <wp:docPr id="1" name="cohort_a_psm_loveplot.png" descr="cohort_a_psm_loveplot.png" title="cohort_a_psm_lovepl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480"/>
      </w:pP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S2. Love plot showing absolute standardised mean differences before and after fine matching (Cohort B).</w:t>
      </w:r>
    </w:p>
    <w:p>
      <w:pPr>
        <w:spacing w:after="120" w:line="240"/>
        <w:jc w:val="center"/>
      </w:pPr>
      <w:r>
        <w:drawing>
          <wp:inline distT="0" distB="0" distL="0" distR="0">
            <wp:extent cx="4762500" cy="2828925"/>
            <wp:effectExtent t="0" r="0" b="0" l="0"/>
            <wp:docPr id="1" name="love_plot.png" descr="love_plot.png" title="love_pl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480"/>
      </w:pP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S3. Propensity-score density distributions before and after 1:1 nearest-neighbour matching (Cohort A).</w:t>
      </w:r>
    </w:p>
    <w:p>
      <w:pPr>
        <w:spacing w:after="120" w:line="240"/>
        <w:jc w:val="center"/>
      </w:pPr>
      <w:r>
        <w:drawing>
          <wp:inline distT="0" distB="0" distL="0" distR="0">
            <wp:extent cx="5238750" cy="2095500"/>
            <wp:effectExtent t="0" r="0" b="0" l="0"/>
            <wp:docPr id="1" name="SupFigS3_ps_density.png" descr="SupFigS3_ps_density.png" title="SupFigS3_ps_dens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480"/>
      </w:pP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S4. Forest plot of hazard ratios for lesion recurrence by age group and follow-up duration (Cohort B).</w:t>
      </w:r>
    </w:p>
    <w:p>
      <w:pPr>
        <w:spacing w:after="120" w:line="240"/>
        <w:jc w:val="center"/>
      </w:pPr>
      <w:r>
        <w:drawing>
          <wp:inline distT="0" distB="0" distL="0" distR="0">
            <wp:extent cx="5238750" cy="1800225"/>
            <wp:effectExtent t="0" r="0" b="0" l="0"/>
            <wp:docPr id="1" name="CohortB_age_fu_forest.png" descr="CohortB_age_fu_forest.png" title="CohortB_age_fu_for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480"/>
      </w:pP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S5. Scaled Schoenfeld residual plots for Cohort A primary models.</w:t>
      </w:r>
    </w:p>
    <w:p>
      <w:pPr>
        <w:spacing w:after="6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A. Any-of-five composite</w:t>
      </w:r>
    </w:p>
    <w:p>
      <w:pPr>
        <w:spacing w:after="120" w:line="240"/>
        <w:jc w:val="center"/>
      </w:pPr>
      <w:r>
        <w:drawing>
          <wp:inline distT="0" distB="0" distL="0" distR="0">
            <wp:extent cx="4286250" cy="3228975"/>
            <wp:effectExtent t="0" r="0" b="0" l="0"/>
            <wp:docPr id="1" name="PH_check_A_0.png" descr="PH_check_A_0.png" title="PH_check_A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B. Diabetes</w:t>
      </w:r>
    </w:p>
    <w:p>
      <w:pPr>
        <w:spacing w:after="120" w:line="240"/>
        <w:jc w:val="center"/>
      </w:pPr>
      <w:r>
        <w:drawing>
          <wp:inline distT="0" distB="0" distL="0" distR="0">
            <wp:extent cx="4286250" cy="3228975"/>
            <wp:effectExtent t="0" r="0" b="0" l="0"/>
            <wp:docPr id="1" name="PH_check_A_1.png" descr="PH_check_A_1.png" title="PH_check_A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480"/>
      </w:pP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S6. Scaled Schoenfeld residual plots for Cohort B primary models.</w:t>
      </w:r>
    </w:p>
    <w:p>
      <w:pPr>
        <w:spacing w:after="6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A. Lesion recurrence</w:t>
      </w:r>
    </w:p>
    <w:p>
      <w:pPr>
        <w:spacing w:after="120" w:line="240"/>
        <w:jc w:val="center"/>
      </w:pPr>
      <w:r>
        <w:drawing>
          <wp:inline distT="0" distB="0" distL="0" distR="0">
            <wp:extent cx="4286250" cy="3228975"/>
            <wp:effectExtent t="0" r="0" b="0" l="0"/>
            <wp:docPr id="1" name="PH_check_B_has_recurrence.png" descr="PH_check_B_has_recurrence.png" title="PH_check_B_has_recur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B. HPV reinfection</w:t>
      </w:r>
    </w:p>
    <w:p>
      <w:pPr>
        <w:spacing w:after="120" w:line="240"/>
        <w:jc w:val="center"/>
      </w:pPr>
      <w:r>
        <w:drawing>
          <wp:inline distT="0" distB="0" distL="0" distR="0">
            <wp:extent cx="4286250" cy="3257550"/>
            <wp:effectExtent t="0" r="0" b="0" l="0"/>
            <wp:docPr id="1" name="PH_check_B_has_hpv_infection.png" descr="PH_check_B_has_hpv_infection.png" title="PH_check_B_has_hpv_infec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7"/>
      <w:footerReference w:type="default" r:id="rId8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2"/>
        <w:szCs w:val="22"/>
      </w:rPr>
      <w:t xml:space="preserve">S-</w:t>
    </w:r>
    <w:r>
      <w:rPr>
        <w:rFonts w:ascii="Arial" w:cs="Arial" w:eastAsia="Arial" w:hAnsi="Arial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sz w:val="18"/>
        <w:szCs w:val="18"/>
      </w:rPr>
      <w:t xml:space="preserve">Supplementary Materials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4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98cab16c6a4ab1dee77467104cef9882ea30c7c.png"/><Relationship Id="rId10" Type="http://schemas.openxmlformats.org/officeDocument/2006/relationships/image" Target="media/fec51bf4a4cedc97beebe09c4b6b10534cdb76f6.png"/><Relationship Id="rId11" Type="http://schemas.openxmlformats.org/officeDocument/2006/relationships/image" Target="media/54b952a5ba470a0e41027d29c9ca66c8b5562f13.png"/><Relationship Id="rId12" Type="http://schemas.openxmlformats.org/officeDocument/2006/relationships/image" Target="media/f808f8b084574342a2fdc5f3206042d04d4f3171.png"/><Relationship Id="rId13" Type="http://schemas.openxmlformats.org/officeDocument/2006/relationships/image" Target="media/233275bfdf36d1139636fa2f6c795209fd4f1a1d.png"/><Relationship Id="rId14" Type="http://schemas.openxmlformats.org/officeDocument/2006/relationships/image" Target="media/30240ca426be0d1a00eb01989d8e842200078ced.png"/><Relationship Id="rId15" Type="http://schemas.openxmlformats.org/officeDocument/2006/relationships/image" Target="media/b05ab2029013e0d9ee8dca080d5d1cc25dba634e.png"/><Relationship Id="rId16" Type="http://schemas.openxmlformats.org/officeDocument/2006/relationships/image" Target="media/5f36067b09e374a03bf62116969063fde553f018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2026-04-30T16:12:08.196Z</dcterms:created>
  <dcterms:modified xsi:type="dcterms:W3CDTF">2026-04-30T16:12:08.196Z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