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6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Tables and Figures</w:t>
      </w:r>
    </w:p>
    <w:p>
      <w:pPr>
        <w:spacing w:after="0" w:line="480"/>
      </w:pPr>
    </w:p>
    <w:p>
      <w:pPr>
        <w:spacing w:after="0" w:line="36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Long-term safety and post-surgical efficacy of HPV vaccination in women with cervical intraepithelial lesions: a prospective–retrospective cohort study using Korean clinical data warehouse</w:t>
      </w:r>
    </w:p>
    <w:p>
      <w:pPr>
        <w:spacing w:after="0" w:line="480"/>
      </w:pPr>
    </w:p>
    <w:p>
      <w:pPr>
        <w:spacing w:after="0" w:line="480"/>
      </w:pP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1. </w:t>
      </w:r>
      <w:r>
        <w:rPr>
          <w:rFonts w:ascii="Arial" w:cs="Arial" w:eastAsia="Arial" w:hAnsi="Arial"/>
          <w:sz w:val="22"/>
          <w:szCs w:val="22"/>
        </w:rPr>
        <w:t xml:space="preserve">Baseline characteristics of the analytic cohorts after matching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400"/>
        <w:gridCol w:w="2400"/>
        <w:gridCol w:w="1200"/>
      </w:tblGrid>
      <w:tr>
        <w:tc>
          <w:tcPr>
            <w:tcW w:type="dxa" w:w="38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Characteristic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Vaccinated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Unvaccinated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SMD</w:t>
            </w:r>
          </w:p>
        </w:tc>
      </w:tr>
      <w:tr>
        <w:tc>
          <w:tcPr>
            <w:tcW w:type="dxa" w:w="38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(a) Entire cohort (Cohort A; propensity-score matched, 1:1)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Vaccinated (n = 2,052)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Unvaccinated (n = 2,052)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SMD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Demographics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Age at index, years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33.73 ± 9.14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33.55 ± 11.46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0.018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Birth year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1982.04 ± 10.06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1981.29 ± 11.21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0.071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Index year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2015.73 ± 4.12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2014.79 ± 3.81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0.238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Residence in Seoul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714 (34.8%)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708 (34.5%)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0.006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Anthropometry and vital signs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Height, cm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161.36 ± 5.33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160.63 ± 5.34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0.136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Weight, kg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57.58 ± 9.81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56.87 ± 10.12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0.071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BMI, kg/m²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22.15 ± 3.56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22.06 ± 3.69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0.024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Systolic BP, mmHg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113.36 ± 13.26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112.64 ± 15.01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0.051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Diastolic BP, mmHg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70.86 ± 10.70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70.44 ± 11.03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0.039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Smoking status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Never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629 (30.6%)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624 (30.4%)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0.005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Former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 (0.4%)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(0.3%)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0.016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Current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31 (1.5%)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35 (1.7%)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0.015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1384 (67.4%)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1387 (67.6%)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0.003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Pre-existing comorbidities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Angina pectoris/MI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 (0.4%)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 (0.2%)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0.033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Diabetes mellitus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 (0.7%)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(0.5%)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0.026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Stroke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Pulmonary embolism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Composite (any of 5)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 (1.1%)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 (0.7%)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0.041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Follow-up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Follow-up, days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2195.52 ± 1721.94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2725.86 ± 1581.00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0.321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Mortality during follow-up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 (0.2%)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 (1.1%)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0.107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(b) Surgical cohort (Cohort B; fine-matched, 1:4)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Vaccinated (n = 241)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Unvaccinated (n = 868)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SMD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Demographics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Age at index, years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37.26 ± 9.45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37.17 ± 8.53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0.010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Birth year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1979.56 ± 10.22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1979.57 ± 9.43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Index year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2016.76 ± 3.82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2016.69 ± 3.74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0.019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Residence in Seoul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66 (27.4%)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257 (29.6%)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0.050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Anthropometry and vital signs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Height, cm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160.38 ± 4.95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160.97 ± 5.43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0.113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Weight, kg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57.14 ± 9.11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57.14 ± 9.39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BMI, kg/m²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22.19 ± 3.52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22.15 ± 3.44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0.009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Systolic BP, mmHg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113.43 ± 13.03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112.72 ± 13.74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0.053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Diastolic BP, mmHg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72.06 ± 10.53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71.31 ± 11.83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0.067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Smoking status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Never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110 (45.6%)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379 (43.7%)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0.039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Former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 (0.7%)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0.118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Current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(4.1%)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29 (3.3%)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0.042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121 (50.2%)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453 (52.2%)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0.041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Pre-existing comorbidities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Angina pectoris/MI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(1.7%)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 (0.7%)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0.090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Diabetes mellitus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(1.2%)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 (1.3%)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0.002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Stroke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Pulmonary embolism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Composite (any of 5)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(2.9%)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 (1.7%)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0.078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Surgical procedure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Conisation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240 (99.6%)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861 (99.3%)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0.037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Hysterectomy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(0.4%)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 (0.7%)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0.037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Age at surgery, years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36.68 ± 9.27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36.75 ± 8.51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0.009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Surgery year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2016.18 ± 3.79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2016.27 ± 3.72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0.023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Surgery → index, days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213.25 ± 380.70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153.59 ± 209.66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0.194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Follow-up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Follow-up, days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2233.95 ± 1404.53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2236.13 ± 1351.73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0.002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Mortality during follow-up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(0.5%)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0.096</w:t>
            </w:r>
          </w:p>
        </w:tc>
      </w:tr>
    </w:tbl>
    <w:p>
      <w:pPr>
        <w:spacing w:after="0" w:line="480"/>
      </w:pPr>
    </w:p>
    <w:p>
      <w:pPr>
        <w:spacing w:after="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Data are presented as mean ± SD or n (%). SMD, standardised mean difference; SBP, systolic blood pressure; DBP, diastolic blood pressure; BMI, body mass index; MI, myocardial infarction. Covariate balance was assessed using absolute SMD; values &lt; 0.10 indicate adequate balance. P-values are not reported for matched comparisons.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2. </w:t>
      </w:r>
      <w:r>
        <w:rPr>
          <w:rFonts w:ascii="Arial" w:cs="Arial" w:eastAsia="Arial" w:hAnsi="Arial"/>
          <w:sz w:val="22"/>
          <w:szCs w:val="22"/>
        </w:rPr>
        <w:t xml:space="preserve">Entire cohort (Cohort A): cause-specific and subdistribution hazard ratios for chronic-disease endpoints (N = 4,102)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50"/>
        <w:gridCol w:w="650"/>
        <w:gridCol w:w="850"/>
        <w:gridCol w:w="850"/>
        <w:gridCol w:w="650"/>
        <w:gridCol w:w="650"/>
        <w:gridCol w:w="1800"/>
        <w:gridCol w:w="1800"/>
      </w:tblGrid>
      <w:tr>
        <w:tc>
          <w:tcPr>
            <w:tcW w:type="dxa" w:w="16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Outcome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Ev (V)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Ev (C)</w:t>
            </w:r>
          </w:p>
        </w:tc>
        <w:tc>
          <w:tcPr>
            <w:tcW w:type="dxa" w:w="8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PY (V)</w:t>
            </w:r>
          </w:p>
        </w:tc>
        <w:tc>
          <w:tcPr>
            <w:tcW w:type="dxa" w:w="8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PY (C)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IR (V)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IR (C)</w:t>
            </w:r>
          </w:p>
        </w:tc>
        <w:tc>
          <w:tcPr>
            <w:tcW w:type="dxa" w:w="18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csHR (95% CI)</w:t>
            </w:r>
          </w:p>
        </w:tc>
        <w:tc>
          <w:tcPr>
            <w:tcW w:type="dxa" w:w="18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sHR (95% CI)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Angina pectoris/MI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12,324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15,317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12,246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15,266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1.49 (0.53–4.19)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1.50 (0.54–4.14)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Diabetes mellitus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12,201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15,190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1.7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1.4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1.25 (0.68–2.28)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1.25 (0.69–2.28)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Stroke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12,341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15,322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Pulmonary embolism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12,341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15,320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MCE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3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2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12,324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15,315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0.2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0.1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1.96 (0.31–12.46)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1.95 (0.33–11.71)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Any of five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29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30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12,106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15,130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2.4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2.0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1.26 (0.75–2.12)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1.27 (0.76–2.12)</w:t>
            </w:r>
          </w:p>
        </w:tc>
      </w:tr>
    </w:tbl>
    <w:p>
      <w:pPr>
        <w:spacing w:after="0" w:line="480"/>
      </w:pPr>
    </w:p>
    <w:p>
      <w:pPr>
        <w:spacing w:after="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Ev, events; PY, person-years; IR, incidence rate per 1,000 person-years; csHR, cause-specific hazard ratio; sHR, subdistribution hazard ratio estimated by Fine–Gray regression; MI, myocardial infarction; MCE, major cardiovascular event (myocardial infarction, stroke, or pulmonary embolism); V, vaccinated; C, unvaccinated control. All hazard ratios were estimated with cluster-robust standard errors. The competing event was death from any cause (n = 28). Estimates were not computed when fewer than three events occurred in either group (—).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3. </w:t>
      </w:r>
      <w:r>
        <w:rPr>
          <w:rFonts w:ascii="Arial" w:cs="Arial" w:eastAsia="Arial" w:hAnsi="Arial"/>
          <w:sz w:val="22"/>
          <w:szCs w:val="22"/>
        </w:rPr>
        <w:t xml:space="preserve">Surgical cohort (Cohort B): age-adjusted hazard ratios for post-surgical outcomes (N = 1,108)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"/>
        <w:gridCol w:w="650"/>
        <w:gridCol w:w="650"/>
        <w:gridCol w:w="650"/>
        <w:gridCol w:w="850"/>
        <w:gridCol w:w="850"/>
        <w:gridCol w:w="650"/>
        <w:gridCol w:w="650"/>
        <w:gridCol w:w="1800"/>
        <w:gridCol w:w="700"/>
      </w:tblGrid>
      <w:tr>
        <w:tc>
          <w:tcPr>
            <w:tcW w:type="dxa" w:w="20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Outcome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N (V)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N (C)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Ev (V)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Ev (C)</w:t>
            </w:r>
          </w:p>
        </w:tc>
        <w:tc>
          <w:tcPr>
            <w:tcW w:type="dxa" w:w="8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PY (V)</w:t>
            </w:r>
          </w:p>
        </w:tc>
        <w:tc>
          <w:tcPr>
            <w:tcW w:type="dxa" w:w="8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PY (C)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IR (V)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IR (C)</w:t>
            </w:r>
          </w:p>
        </w:tc>
        <w:tc>
          <w:tcPr>
            <w:tcW w:type="dxa" w:w="18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(95% CI)</w:t>
            </w:r>
          </w:p>
        </w:tc>
        <w:tc>
          <w:tcPr>
            <w:tcW w:type="dxa" w:w="7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20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Lesion recurrence (HSIL/CIN3+)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1,474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5,308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8.8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10.7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0.76 (0.43–1.33)</w:t>
            </w:r>
          </w:p>
        </w:tc>
        <w:tc>
          <w:tcPr>
            <w:tcW w:type="dxa" w:w="7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0.337</w:t>
            </w:r>
          </w:p>
        </w:tc>
      </w:tr>
      <w:tr>
        <w:tc>
          <w:tcPr>
            <w:tcW w:type="dxa" w:w="20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High-risk HPV reinfection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149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546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1,474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5,308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101.1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102.9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0.97 (0.83–1.14)</w:t>
            </w:r>
          </w:p>
        </w:tc>
        <w:tc>
          <w:tcPr>
            <w:tcW w:type="dxa" w:w="7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0.712</w:t>
            </w:r>
          </w:p>
        </w:tc>
      </w:tr>
    </w:tbl>
    <w:p>
      <w:pPr>
        <w:spacing w:after="0" w:line="480"/>
      </w:pPr>
    </w:p>
    <w:p>
      <w:pPr>
        <w:spacing w:after="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Ev, events; PY, person-years; IR, incidence rate per 1,000 person-years; HR, hazard ratio; CI, confidence interval; HSIL, high-grade squamous intraepithelial lesion; CIN3, cervical intraepithelial neoplasia grade 3; HPV, human papillomavirus; V, vaccinated; C, unvaccinated control. Hazard ratios were estimated from Cox proportional-hazards models with cluster-robust standard errors, adjusted for age at index date. No multiplicity adjustment was applied.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1. </w:t>
      </w:r>
      <w:r>
        <w:rPr>
          <w:rFonts w:ascii="Arial" w:cs="Arial" w:eastAsia="Arial" w:hAnsi="Arial"/>
          <w:sz w:val="22"/>
          <w:szCs w:val="22"/>
        </w:rPr>
        <w:t xml:space="preserve">Cohort selection flow diagram. From the source population (N = 32,969), the entire cohort for chronic-disease safety (Cohort A, n = 4,102) and the surgical cohort for post-surgical efficacy (Cohort B, n = 1,108) were derived.</w:t>
      </w:r>
    </w:p>
    <w:p>
      <w:pPr>
        <w:spacing w:after="120" w:line="240"/>
        <w:jc w:val="center"/>
      </w:pPr>
      <w:r>
        <w:drawing>
          <wp:inline distT="0" distB="0" distL="0" distR="0">
            <wp:extent cx="5715000" cy="4276725"/>
            <wp:effectExtent t="0" r="0" b="0" l="0"/>
            <wp:docPr id="1" name="Figure1_CohortSelection.png" descr="Figure1_CohortSelection.png" title="Figure1_CohortSelec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2. </w:t>
      </w:r>
      <w:r>
        <w:rPr>
          <w:rFonts w:ascii="Arial" w:cs="Arial" w:eastAsia="Arial" w:hAnsi="Arial"/>
          <w:sz w:val="22"/>
          <w:szCs w:val="22"/>
        </w:rPr>
        <w:t xml:space="preserve">Entire cohort (Cohort A, N = 4,102). Aalen–Johansen cumulative incidence functions and forest plot of cause-specific hazard ratios for five chronic-disease endpoints. Death from any cause was treated as a competing event.</w:t>
      </w:r>
    </w:p>
    <w:p>
      <w:pPr>
        <w:spacing w:after="120" w:line="240"/>
        <w:jc w:val="center"/>
      </w:pPr>
      <w:r>
        <w:drawing>
          <wp:inline distT="0" distB="0" distL="0" distR="0">
            <wp:extent cx="5715000" cy="3524250"/>
            <wp:effectExtent t="0" r="0" b="0" l="0"/>
            <wp:docPr id="1" name="Figure2_CohortA_CIF_HR.png" descr="Figure2_CohortA_CIF_HR.png" title="Figure2_CohortA_CIF_H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3. </w:t>
      </w:r>
      <w:r>
        <w:rPr>
          <w:rFonts w:ascii="Arial" w:cs="Arial" w:eastAsia="Arial" w:hAnsi="Arial"/>
          <w:sz w:val="22"/>
          <w:szCs w:val="22"/>
        </w:rPr>
        <w:t xml:space="preserve">Surgical cohort (Cohort B, N = 1,108). Kaplan–Meier survival curves for biopsy-confirmed lesion recurrence (HSIL/CIN3+) and high-risk HPV reinfection.</w:t>
      </w:r>
    </w:p>
    <w:p>
      <w:pPr>
        <w:spacing w:after="120" w:line="240"/>
        <w:jc w:val="center"/>
      </w:pPr>
      <w:r>
        <w:drawing>
          <wp:inline distT="0" distB="0" distL="0" distR="0">
            <wp:extent cx="5715000" cy="3457575"/>
            <wp:effectExtent t="0" r="0" b="0" l="0"/>
            <wp:docPr id="1" name="Figure3_CohortB_KaplanMeier.png" descr="Figure3_CohortB_KaplanMeier.png" title="Figure3_CohortB_KaplanMei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4. </w:t>
      </w:r>
      <w:r>
        <w:rPr>
          <w:rFonts w:ascii="Arial" w:cs="Arial" w:eastAsia="Arial" w:hAnsi="Arial"/>
          <w:sz w:val="22"/>
          <w:szCs w:val="22"/>
        </w:rPr>
        <w:t xml:space="preserve">Surgical cohort (Cohort B). Subgroup analyses for lesion recurrence and high-risk HPV reinfection: (a) forest plot of hazard ratios by vaccine type (nonavalent, bivalent, quadrivalent); (b) forest plot of pre-specified age-stratum by follow-up-duration subgroup analysis for lesion recurrence.</w:t>
      </w:r>
    </w:p>
    <w:p>
      <w:pPr>
        <w:spacing w:after="120" w:line="240"/>
        <w:jc w:val="center"/>
      </w:pPr>
      <w:r>
        <w:drawing>
          <wp:inline distT="0" distB="0" distL="0" distR="0">
            <wp:extent cx="5715000" cy="2219325"/>
            <wp:effectExtent t="0" r="0" b="0" l="0"/>
            <wp:docPr id="1" name="Figure4_CohortB_Subgroup.png" descr="Figure4_CohortB_Subgroup.png" title="Figure4_CohortB_Subgro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sz w:val="18"/>
        <w:szCs w:val="18"/>
      </w:rPr>
      <w:t xml:space="preserve">HPV vaccination — Tables and Figures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4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0c974dc2bbd2f0bcd87dc1e093d6f91a978005.png"/><Relationship Id="rId10" Type="http://schemas.openxmlformats.org/officeDocument/2006/relationships/image" Target="media/1e2328939c29cf784bf155454e2f847f009b4a55.png"/><Relationship Id="rId11" Type="http://schemas.openxmlformats.org/officeDocument/2006/relationships/image" Target="media/dc5cc3f20c0b1c898f7492f624fd93a335e4144b.png"/><Relationship Id="rId12" Type="http://schemas.openxmlformats.org/officeDocument/2006/relationships/image" Target="media/af9c145d94ce8c5d7e986f28913f251d41cce47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2026-05-07T13:20:02.119Z</dcterms:created>
  <dcterms:modified xsi:type="dcterms:W3CDTF">2026-05-07T13:20:02.119Z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