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730 fine-matched controls)</w:t>
      </w:r>
      <w:r>
        <w:t xml:space="preserve">. All post-matching standardised mean differences were below 0.10. In Cohort A, vaccination was not associated with chronic-disease incidence (Any-of-five hazard ratio 1.28,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0.99)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204 vaccinated and 730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730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was applied, with balance preserved on all measured covariates (</w:t>
      </w:r>
      <w:r>
        <w:rPr>
          <w:b/>
          <w:bCs/>
        </w:rPr>
        <w:t xml:space="preserve">Table 1</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2.04 vs 1.62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204 vaccinated and 730 fine-matched controls), one additional matched set was removed for the lesion-recurrence outcome because the vaccinated case had a recurrence event in the first 90 days post-index, with a small number of unvaccinated controls similarly removed for early events, yielding a lesion-recurrence analytic sample at the landmark (the primary cohort itself).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0.99).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3.30,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1.11–2.51,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0–6-month post-index window (hazard ratio 2.20, 95% CI 1.03–4.68; p = 0.042; 19 vaccinated and 14 control events), with non-significant point estimates of 1.34 (0.48–3.75) in 0–6 months, 0.63 (0.15–2.59) in 12–24 months, and 1.93 (0.27–14.07)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0.58 (0.27–1.26) and a clearance hazard ratio of 1.59 (0.97–2.60).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1.28, 95% CI 0.66–2.48); (ii) the absence of a protective effect of post-surgical vaccination on biopsy-confirmed lesion recurrence (hazard ratio 1.01, 95% CI 0.49–2.06; p = 0.99);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235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2026-05-28T13:30:51Z</dcterms:created>
  <dcterms:modified xsi:type="dcterms:W3CDTF">2026-05-28T13:30:51Z</dcterms:modified>
</cp:coreProperties>
</file>

<file path=docProps/custom.xml><?xml version="1.0" encoding="utf-8"?>
<Properties xmlns="http://schemas.openxmlformats.org/officeDocument/2006/custom-properties" xmlns:vt="http://schemas.openxmlformats.org/officeDocument/2006/docPropsVTypes"/>
</file>