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v3 primary cumulative-incidence curves, anchored at the 3-month landmark (index + 90 days); years 0, 2, 4, 6, 8, 10 measured from landmark. Lesion recurrence rows are the P1 analytic sample (n = 912: 203 / 709); hr-HPV clearance rows are the P2 analytic sample (n = 235: 92 / 143).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421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