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709 fine-matched controls)</w:t>
      </w:r>
      <w:r>
        <w:t xml:space="preserve">. All post-matching standardised mean differences were below 0.10. In Cohort A, vaccination was not associated with chronic-disease incidence (Any-of-five hazard ratio 1.27,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0.985)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at least one day of follow-up thereafter, and an index date on or before 31 December 2024 to guarantee at least one year of potential follow-up before the 31 December 2025 administrative censoring date (the same calendar cap was applied to Cohort B for symmetry).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2024 to ensure at least one year of potential follow-up before the 31 December 2025 administrative censoring date (this calendar cap was applied symmetrically to Cohort A as well), and, for Cohort B specifically, at least two follow-up pathology records (biopsy or molecular) to ensure non-trivial surveillance density.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203 vaccinated and 709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709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and 3-month landmark were applied, with the clearance subset well balanced on the matching covariates (age at index |SMD| &lt; 0.01, BMI |SMD| 0.16, surgery type |SMD| 0.12;</w:t>
      </w:r>
      <w:r>
        <w:t xml:space="preserve"> </w:t>
      </w:r>
      <w:r>
        <w:rPr>
          <w:b/>
          <w:bCs/>
        </w:rPr>
        <w:t xml:space="preserve">Table 1C</w:t>
      </w:r>
      <w:r>
        <w:t xml:space="preserve">); because the clearance subset is not itself the target of the fine-matching procedure, some covariates exceed the |SMD| = 0.10 threshold of nominal balance, and Cox models are adjusted for age at index.</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1.27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2.05 vs 1.63 per 1,000 person-years; 95% CI 0.70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203 vaccinated and 709 fine-matched controls), the lesion-recurrence analytic sample is the primary cohort itself, after matched-set integrity removed any sets in which the vaccinated case (or its attached unvaccinated controls) experienced an event before the 3-month landmark.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0.985).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3.29,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S3B; full grid in</w:t>
      </w:r>
      <w:r>
        <w:t xml:space="preserve"> </w:t>
      </w:r>
      <w:r>
        <w:rPr>
          <w:rStyle w:val="VerbatimChar"/>
        </w:rPr>
        <w:t xml:space="preserve">Data/sensitivity_age_cutoff.csv</w:t>
      </w:r>
      <w:r>
        <w:t xml:space="preserve">).</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was re-fit on the same 92 vaccinated and 141 fine-matched control women that constitute the two-consecutive-negative primary analytic sample (event ascertainment was the only quantity that varied across the two definitions, isolating the contrast and removing the small N-imbalance that arises when landmark and matched-set integrity are applied independently per definition). On this shared sample the single-negative definition counted 42 vaccinated and 42 control events and yielded a hazard ratio of 1.69 (95% CI 1.14–2.52, p = 0.009),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6–12-month post-index window (hazard ratio 3.29, 95% CI 1.41–7.70; p = 0.006; 18 vaccinated and 9 control events), with non-significant point estimates of 1.34 (0.48–3.75; 8 vs 9 events) in 0–6 months, 0.63 (0.15–2.59; 3 vs 8 events) in 12–24 months, and 1.93 (0.27–14.07; 2 vs 2 events)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0.61 (0.30–1.24; p = 0.173; 8 vaccinated and 45 control events on 193 vaccinated and 697 control women) and a clearance hazard ratio of 1.59 (0.97–2.60; p = 0.065).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1.27, 95% CI 0.66–2.48); (ii) the absence of a protective effect of post-surgical vaccination on biopsy-confirmed lesion recurrence (hazard ratio 1.01, 95% CI 0.49–2.06; p = 0.985);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233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2026-05-31T02:00:43Z</dcterms:created>
  <dcterms:modified xsi:type="dcterms:W3CDTF">2026-05-31T02:00:43Z</dcterms:modified>
</cp:coreProperties>
</file>

<file path=docProps/custom.xml><?xml version="1.0" encoding="utf-8"?>
<Properties xmlns="http://schemas.openxmlformats.org/officeDocument/2006/custom-properties" xmlns:vt="http://schemas.openxmlformats.org/officeDocument/2006/docPropsVTypes"/>
</file>