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730 fine-matched controls)</w:t>
      </w:r>
      <w:r>
        <w:t xml:space="preserve">. All post-matching standardised mean differences were below 0.10. In Cohort A, vaccination was not associated with chronic-disease incidence (Any-of-five hazard ratio 1.28, 95% confidence interval 0.66–2.48; 18 vaccinated and 21 unvaccinated events over 7,421 and 10,090 person-years; cause-specific Cox with cluster-robust standard errors on the matched-pair identifier). In Cohort B, the two co-primary outcomes were biopsy-confirmed lesion recurrence (≥CIN2) and hr-HPV clearance, defined as the first of two consecutive post-landmark hr-HPV-negative molecular pathology tests, among women with documented pre-vaccine high-risk HPV positivity. Post-surgical vaccination was not associated with reduced lesion recurrence (hazard ratio 1.01, 95% CI 0.49–2.06; p = 0.99)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204 vaccinated and 730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post-landmark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3-month landmark (index + 90 days) to the FIRST of two consecutive post-landmark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3-month landmark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post-landmark,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post-landmark recurrences represent persistent disease from an incomplete excision rather than true recurrence after clearance, the lesion-recurrence outcome was re-fit after applying a minimum disease-free interval of 3, 6, or 12 months from the landmark.</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730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was applied, with balance preserved on all measured covariates (</w:t>
      </w:r>
      <w:r>
        <w:rPr>
          <w:b/>
          <w:bCs/>
        </w:rPr>
        <w:t xml:space="preserve">Table 1</w:t>
      </w:r>
      <w:r>
        <w:t xml:space="preserve">).</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7,421 vaccinated and 10,090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2.43 per 1,000 person-years; 21 unvaccinated, 2.08 per 1,000 person-years). For the inclusive Any-of-five composite, the cluster-robust cause-specific hazard ratio for vaccination was</w:t>
      </w:r>
      <w:r>
        <w:t xml:space="preserve"> </w:t>
      </w:r>
      <w:r>
        <w:rPr>
          <w:b/>
          <w:bCs/>
        </w:rPr>
        <w:t xml:space="preserve">1.28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2.14 vs 1.68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204 vaccinated and 730 fine-matched controls), one additional matched set was removed for the lesion-recurrence outcome because the vaccinated case had a recurrence event in the first 90 days post-index, with a small number of unvaccinated controls similarly removed for early events, yielding a lesion-recurrence analytic sample at the landmark (the primary cohort itself).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0.99).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post-landmark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0–6-month post-landmark window (hazard ratio 2.20, 95% CI 1.03–4.68; p = 0.042)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1.70 (95% CI 1.13–2.56, p = 0.011) on 91 vaccinated and 139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0–6-month post-landmark window (hazard ratio 2.20, 95% CI 1.03–4.68; p = 0.042; 19 vaccinated and 14 control events), with non-significant point estimates of 1.58 (0.71–3.52) in 6–12 months, 1.34 (0.30–6.07) in 12–24 months, and 1.08 (0.09–13.45) beyond 24 months — localising the clearance signal to the earliest post-landmark window,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0.58 (0.27–1.26) and a clearance hazard ratio of 1.59 (0.97–2.60).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landmark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1.28, 95% CI 0.66–2.48); (ii) the absence of a protective effect of post-surgical vaccination on biopsy-confirmed lesion recurrence (hazard ratio 1.01, 95% CI 0.49–2.06; p = 0.99);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235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2026-05-28T12:47:59Z</dcterms:created>
  <dcterms:modified xsi:type="dcterms:W3CDTF">2026-05-28T12:47:59Z</dcterms:modified>
</cp:coreProperties>
</file>

<file path=docProps/custom.xml><?xml version="1.0" encoding="utf-8"?>
<Properties xmlns="http://schemas.openxmlformats.org/officeDocument/2006/custom-properties" xmlns:vt="http://schemas.openxmlformats.org/officeDocument/2006/docPropsVTypes"/>
</file>