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matching, and the primary exposure filter (≥2 doses + 3-month landmark with matched-set integrity preserved) yielding the primary analytic cohort n = 934 (204 vaccinated / 730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492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lesion-recurrence analytic sample (n = 912: 203 vaccinated / 709 controls); (b) cumulative clearance of pre-existing hr-HPV (two-consecutive-negative event) in the clearance subset (n = 235: 92 vaccinated / 143 controls). The x-axis is years from the 3-month landmark (index + 90 days).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0853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85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934 (204 vaccinated / 730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