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Cohort A (n = 4,102; 1:1 propensity-score matched) assessed chronic-disease safety, and Cohort B (post-surgical efficacy) was defined under a pre-specified primary exposure of</w:t>
      </w:r>
      <w:r>
        <w:t xml:space="preserve"> </w:t>
      </w:r>
      <w:r>
        <w:rPr>
          <w:b/>
          <w:bCs/>
        </w:rPr>
        <w:t xml:space="preserve">at least two documented HPV-vaccine prescription dates</w:t>
      </w:r>
      <w:r>
        <w:t xml:space="preserve"> </w:t>
      </w:r>
      <w:r>
        <w:t xml:space="preserve">with a</w:t>
      </w:r>
      <w:r>
        <w:t xml:space="preserve"> </w:t>
      </w:r>
      <w:r>
        <w:rPr>
          <w:b/>
          <w:bCs/>
        </w:rPr>
        <w:t xml:space="preserve">symmetric 3-month landmark</w:t>
      </w:r>
      <w:r>
        <w:t xml:space="preserve"> </w:t>
      </w:r>
      <w:r>
        <w:t xml:space="preserve">applied across arms to mitigate immortal-time selection (final n = 934; 204 vaccinated, 730 fine-matched controls after preservation of matched-set integrity). All post-matching standardised mean differences were below 0.10. In Cohort A, vaccination was not associated with chronic-disease incidence (Any-of-five hazard ratio 1.26, 95% confidence interval 0.75–2.12). In Cohort B the two co-primary outcomes were biopsy-confirmed lesion recurrence (≥CIN2) and hr-HPV clearance, defined as the first of two consecutive post-index hr-HPV-negative molecular pathology tests, among women with documented pre-vaccine high-risk HPV positivity. Under the ≥2-dose + 3-month landmark primary definition, post-surgical vaccination was</w:t>
      </w:r>
      <w:r>
        <w:t xml:space="preserve"> </w:t>
      </w:r>
      <w:r>
        <w:rPr>
          <w:b/>
          <w:bCs/>
        </w:rPr>
        <w:t xml:space="preserve">not</w:t>
      </w:r>
      <w:r>
        <w:t xml:space="preserve"> </w:t>
      </w:r>
      <w:r>
        <w:t xml:space="preserve">associated with reduced lesion recurrence (hazard ratio 1.01, 95% CI 0.49–2.06; p = 0.99); the directional protective signal observed under the more permissive ≥1-dose, no-landmark exposure definition (hazard ratio 0.80, 95% CI 0.44–1.43; p = 0.45) collapsed once the dose-threshold and landmark filters were applied, indicating that part of that signal was attributable to immortal-time selection. For the clearance co-primary, vaccination was associated with significantly accelerated clearance of pre-existing hr-HPV (hazard ratio 1.85, 95% CI 1.09–3.17; p = 0.024),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but at a clinically interpretable 5-year horizon the reversion-free probability was nearly identical (56.9% vs 53.3%), indicating that the apparent median difference is dominated by late-follow-up plateaus and small reversion counts rather than by an early reversion-risk difference between arms. HPV vaccination did not increase chronic-disease risk over a reverse-Kaplan–Meier median follow-up of 5.93 years (interquartile range 2.78–10.75) in Cohort A and 4.97 years (3.44–8.91) in Cohort B (from index date).</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7"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and at least one day of follow-up thereafter.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final matched Cohort A comprised 2,051 vaccinated and 2,051 unvaccinated women.</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2020 to ensure at least five years of potential follow-up, and at least two follow-up records.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final Cohort B comprised 241 vaccinated and 867 unvaccinated women.</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Person-years were accumulated from the index date to the first event, death, or last follow-up, and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p>
      <w:pPr>
        <w:pStyle w:val="BodyText"/>
      </w:pPr>
      <w:r>
        <w:t xml:space="preserve">The Cohort B</w:t>
      </w:r>
      <w:r>
        <w:t xml:space="preserve"> </w:t>
      </w:r>
      <w:r>
        <w:rPr>
          <w:b/>
          <w:bCs/>
        </w:rPr>
        <w:t xml:space="preserve">primary exposure definition</w:t>
      </w:r>
      <w:r>
        <w:t xml:space="preserve"> </w:t>
      </w:r>
      <w:r>
        <w:t xml:space="preserve">required at least two documented HPV-vaccine prescription dates and applied a</w:t>
      </w:r>
      <w:r>
        <w:t xml:space="preserve"> </w:t>
      </w:r>
      <w:r>
        <w:rPr>
          <w:b/>
          <w:bCs/>
        </w:rPr>
        <w:t xml:space="preserve">symmetric 3-month landmark</w:t>
      </w:r>
      <w:r>
        <w:t xml:space="preserve"> </w:t>
      </w:r>
      <w:r>
        <w:t xml:space="preserve">across arms: the at-risk clock was shifted to index + 90 days for both vaccinated and unvaccinated participants, and patients with &lt;90 days of follow-up or with an outcome event in the first 90 days were excluded. Vaccinated cases failing the ≥2-dose threshold or the landmark eligibility had their full matched set dropped to preserve matched-set integrity. This pre-specified primary definition addresses two concerns simultaneously: (i) a single recorded HPV-vaccine prescription does not guarantee an immune response sufficient to influence post-surgical recurrence or HPV clearance (a minimum of two doses is the conventional threshold for evaluating biological vaccine effects), and (ii) anchoring follow-up at index without a landmark allows time accrued before the immune response could plausibly take effect to count as</w:t>
      </w:r>
      <w:r>
        <w:t xml:space="preserve"> </w:t>
      </w:r>
      <w:r>
        <w:t xml:space="preserve">“vaccinated person-time”</w:t>
      </w:r>
      <w:r>
        <w:t xml:space="preserve">, introducing immortal-time selection. The original ≥1-dose, no-landmark exposure definition is retained as a pre-specified sensitivity analysis (Sens-C). The legacy lesion-recurrence point estimate under ≥1-dose, no-landmark was 0.80 (95% CI 0.44–1.43) and collapsed to 1.01 (0.49–2.06) under the ≥2-dose + 3-month landmark primary, indicating that the directional signal was substantially driven by immortal-time selection and supporting use of the tighter primary definition for inference.</w:t>
      </w:r>
    </w:p>
    <w:p>
      <w:pPr>
        <w:pStyle w:val="BodyText"/>
      </w:pPr>
      <w:r>
        <w:t xml:space="preserve">Five pre-specified sensitivity analyses defended the principal Cohort B inferences and are reported in the main results.</w:t>
      </w:r>
      <w:r>
        <w:t xml:space="preserve"> </w:t>
      </w:r>
      <w:r>
        <w:rPr>
          <w:b/>
          <w:bCs/>
        </w:rPr>
        <w:t xml:space="preserve">(i) Outcome-definition robustness for clearance.</w:t>
      </w:r>
      <w:r>
        <w:t xml:space="preserve"> </w:t>
      </w:r>
      <w:r>
        <w:t xml:space="preserve">Because the choice between a single negative test and two consecutive negative tests is the most consequential definitional decision for the clearance co-primary, the primary two-consecutive-negative event definition was contrasted against an alternative single-negative-test definition (the more permissive ascertainment used in some earlier post-treatment HPV-vaccine analyses); both estimates and the corresponding event counts are reported.</w:t>
      </w:r>
      <w:r>
        <w:t xml:space="preserve"> </w:t>
      </w:r>
      <w:r>
        <w:rPr>
          <w:b/>
          <w:bCs/>
        </w:rPr>
        <w:t xml:space="preserve">(ii) Time-stratified clearance.</w:t>
      </w:r>
      <w:r>
        <w:t xml:space="preserve"> </w:t>
      </w:r>
      <w:r>
        <w:t xml:space="preserve">In response to a non-proportional Schoenfeld pattern in the clearance co-primary, a pre-specified piecewise Cox model decomposed the average hazard ratio into period-specific estimates for 0–6, 6–12, 12–24, and ≥24 months post-index, with at-risk left-truncation at each window’s lower bound and event ascertainment within the window.</w:t>
      </w:r>
      <w:r>
        <w:t xml:space="preserve"> </w:t>
      </w:r>
      <w:r>
        <w:rPr>
          <w:b/>
          <w:bCs/>
        </w:rPr>
        <w:t xml:space="preserve">(iii) Dose threshold and immortal-time landmark.</w:t>
      </w:r>
      <w:r>
        <w:t xml:space="preserve"> </w:t>
      </w:r>
      <w:r>
        <w:t xml:space="preserve">The v3 primary requires ≥2 distinct HPV-vaccine prescription dates with matched-set integrity preserved. As a sensitivity, the more permissive ≥1-dose, no-landmark definition (the legacy primary) and the more restrictive ≥3-dose, no-landmark definition were also fit; in both cases vaccinated cases failing the threshold and their attached non-vaccinated participants were dropped. To address residual immortal-time selection in dose-threshold contrasts, a landmark variant anchored at the standard HPV-vaccine 0–2–6 month schedule plus a 30 / 90 / 240-day grace period (for ≥1, ≥2, ≥3 dose thresholds respectively) was pre-specified; the ≥2-dose, 90-day landmark coincides with the v3 primary specification.</w:t>
      </w:r>
      <w:r>
        <w:t xml:space="preserve"> </w:t>
      </w:r>
      <w:r>
        <w:rPr>
          <w:b/>
          <w:bCs/>
        </w:rPr>
        <w:t xml:space="preserve">(iv) Strict matching.</w:t>
      </w:r>
      <w:r>
        <w:t xml:space="preserve"> </w:t>
      </w:r>
      <w:r>
        <w:t xml:space="preserve">The variable-ratio (1:up-to-4) primary fine-matching procedure for Cohort B was compared against a strict fixed 1:4 alternative that retained only those vaccinated cases for whom four controls had been identified, dropping cases with one to three controls together with their attached non-vaccinated participants. Variable-ratio matching was specified as the primary approach because the limited number of vaccinated surgical cases entering the v3 cohort (n = 204) and the small absolute event count (10 lesion recurrences in the vaccinated arm under v3) make full retention of matchable cases preferable, while the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post-landmark</w:t>
      </w:r>
      <w:r>
        <w:t xml:space="preserve"> </w:t>
      </w:r>
      <w:r>
        <w:t xml:space="preserve">“recurrence”</w:t>
      </w:r>
      <w:r>
        <w:t xml:space="preserve"> </w:t>
      </w:r>
      <w:r>
        <w:t xml:space="preserve">events represent persistent disease from an incomplete excision rather than true recurrence after clearance, the lesion-recurrence co-primary was re-fit after applying a minimum disease-free interval of ≥3, ≥6, or ≥12 months from the 3-month landmark (the v3 primary already removes events occurring in the first 90 days from index by construction).</w:t>
      </w:r>
    </w:p>
    <w:p>
      <w:pPr>
        <w:pStyle w:val="BodyText"/>
      </w:pPr>
      <w:r>
        <w:t xml:space="preserve">The legacy post-index hr-HPV detection endpoint (which conflates persistence and new acquisition) is retained as a sensitivity row in the cluster-robust hazard ratio table (Supplementary Table S6) and in the vaccine-type interaction table (Supplementary Table S5) for transparency, but is not interpreted as a co-primary outcome.</w:t>
      </w:r>
    </w:p>
    <w:p>
      <w:pPr>
        <w:pStyle w:val="BodyText"/>
      </w:pPr>
      <w:r>
        <w:t xml:space="preserve">Follow-up time was reported throughout this manuscript using the</w:t>
      </w:r>
      <w:r>
        <w:t xml:space="preserve"> </w:t>
      </w:r>
      <w:r>
        <w:rPr>
          <w:b/>
          <w:bCs/>
        </w:rPr>
        <w:t xml:space="preserve">reverse Kaplan–Meier method</w:t>
      </w:r>
      <w:r>
        <w:t xml:space="preserve"> </w:t>
      </w:r>
      <w:r>
        <w:t xml:space="preserve">of Schemper and Smith,</w:t>
      </w:r>
      <w:r>
        <w:t xml:space="preserve">8</w:t>
      </w:r>
      <w:r>
        <w:t xml:space="preserve"> </w:t>
      </w:r>
      <w:r>
        <w:t xml:space="preserve">which estimates the median</w:t>
      </w:r>
      <w:r>
        <w:t xml:space="preserve"> </w:t>
      </w:r>
      <w:r>
        <w:rPr>
          <w:i/>
          <w:iCs/>
        </w:rPr>
        <w:t xml:space="preserve">potential</w:t>
      </w:r>
      <w:r>
        <w:t xml:space="preserve"> </w:t>
      </w:r>
      <w:r>
        <w:t xml:space="preserve">follow-up time by inverting the event indicator and applying the Kaplan–Meier estimator to the censoring distribution. This method is preferred to the naïve median of observed follow-up time because the naïve estimator is biased downward when outcome events truncate observation, particularly for outcomes that occur during the follow-up window (lesion recurrence, hr-HPV clearance, the chronic-disease composite). For symmetry between cohorts, the reverse-KM median is reported with its interquartile range as the principal summary of follow-up duration, while mean and observed range are presented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6"/>
    <w:bookmarkEnd w:id="27"/>
    <w:bookmarkStart w:id="31" w:name="results"/>
    <w:p>
      <w:pPr>
        <w:pStyle w:val="Heading2"/>
      </w:pPr>
      <w:r>
        <w:t xml:space="preserve">Results</w:t>
      </w:r>
    </w:p>
    <w:bookmarkStart w:id="28"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1,479 (4.5%) had received at least two distinct vaccine doses. Application of the two matching strategies yielded the final analytic cohorts: Cohort A comprised 4,102 women (2,051 vaccinated and 2,051 unvaccinated, propensity-score matched 1:1); Cohort B comprised 1,108 women (241 vaccinated and 867 finely matched controls, mean variable ratio 3.60:1, maximum 4:1) under the legacy ≥1-dose, no-landmark specification, which was then reduced to</w:t>
      </w:r>
      <w:r>
        <w:t xml:space="preserve"> </w:t>
      </w:r>
      <w:r>
        <w:rPr>
          <w:b/>
          <w:bCs/>
        </w:rPr>
        <w:t xml:space="preserve">934 women (204 vaccinated and 730 fine-matched controls) under the pre-specified ≥2-dose + 3-month landmark primary</w:t>
      </w:r>
      <w:r>
        <w:t xml:space="preserve"> </w:t>
      </w:r>
      <w:r>
        <w:t xml:space="preserve">with matched-set integrity preserved (36 vaccinated cases failing the dose threshold and their attached non-vaccinated participants were dropped; an additional 4 patients were lost to the 3-month landmark filter).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w:t>
      </w:r>
      <w:r>
        <w:t xml:space="preserve"> </w:t>
      </w:r>
      <w:r>
        <w:rPr>
          <w:b/>
          <w:bCs/>
        </w:rPr>
        <w:t xml:space="preserve">Reverse-Kaplan–Meier median follow-up</w:t>
      </w:r>
      <w:r>
        <w:t xml:space="preserve"> </w:t>
      </w:r>
      <w:r>
        <w:t xml:space="preserve">from the index date in the v3 primary cohort (n = 934) was 4.94 years (interquartile range 3.30–8.90) in vaccinated women and 5.02 years (3.48–8.93) in matched controls; the corresponding values from the landmark (index + 90 days) were 4.69 years (3.05–8.65) and 4.78 years (3.23–8.68). For the legacy ≥1-dose, no-landmark Cohort B (n = 1,108), the reverse-KM median was 4.97 years (3.36–8.84) in vaccinated and 5.26 years (3.52–9.32) in controls. Maximum observed follow-up was 15.09 years (vaccinated) and 15.73 years (controls). Naïve medians of observed follow-up — which are biased downward by event-truncated observation — were close to but slightly shorter than these reverse-KM estimates (4.87 vs 4.94 in vaccinated and 4.90 vs 5.02 in controls). In the pre-vaccine hr-HPV-positive subset that defines the analytic population for the clearance co-primary outcome under the v3 primary (</w:t>
      </w:r>
      <w:r>
        <w:rPr>
          <w:b/>
          <w:bCs/>
        </w:rPr>
        <w:t xml:space="preserve">n = 235: 92 vaccinated and 143 matched controls</w:t>
      </w:r>
      <w:r>
        <w:t xml:space="preserve"> </w:t>
      </w:r>
      <w:r>
        <w:t xml:space="preserve">after ≥2-dose + landmark filtering with matched-set integrity), balance was preserved. The legacy ≥1-dose clearance subset (n = 292: 110 vaccinated and 182 controls) is retained as a sensitivity comparator (</w:t>
      </w:r>
      <w:r>
        <w:rPr>
          <w:b/>
          <w:bCs/>
        </w:rPr>
        <w:t xml:space="preserve">Table 1</w:t>
      </w:r>
      <w:r>
        <w:t xml:space="preserve">, Cohort B clearance-subset block).</w:t>
      </w:r>
    </w:p>
    <w:bookmarkEnd w:id="28"/>
    <w:bookmarkStart w:id="29" w:name="X38e5ebf89f1679077ae14291795c408178fb476"/>
    <w:p>
      <w:pPr>
        <w:pStyle w:val="Heading3"/>
      </w:pPr>
      <w:r>
        <w:t xml:space="preserve">Cohort A — Long-term incidence of chronic comorbidities</w:t>
      </w:r>
    </w:p>
    <w:p>
      <w:pPr>
        <w:pStyle w:val="FirstParagraph"/>
      </w:pPr>
      <w:r>
        <w:t xml:space="preserve">Over a reverse-Kaplan–Meier median follow-up of 4.68 years (interquartile range 1.95–9.92) in vaccinated and 6.99 years (3.73–11.21) in matched unvaccinated women (combined 5.93 y; 2.78–10.75), and accumulating approximately 12,324 vaccinated and 15,300 unvaccinated person-years for the Any-of-five analysis (person-years varied slightly across individual outcomes owing to prevalent-case exclusions), 59 women experienced any of the five chronic conditions after the index date (29 in vaccinated, incidence rate 2.40 per 1,000 person-years; 30 in unvaccinated, 1.98 per 1,000 person-years), and 28 women died from any cause. Figure 2 displays the Aalen–Johansen cumulative incidence curves for the Any-of-five composite, the Major Cardiovascular Events composite, and each individual condition, alongside a forest plot of cause-specific and Fine–Gray hazard ratios.</w:t>
      </w:r>
    </w:p>
    <w:p>
      <w:pPr>
        <w:pStyle w:val="BodyText"/>
      </w:pPr>
      <w:r>
        <w:t xml:space="preserve">For the inclusive Any-of-five composite, the cluster-robust cause-specific hazard ratio for vaccination was 1.26 (95% confidence interval 0.75 to 2.12, p = 0.38), and the Fine–Gray subdistribution hazard ratio was virtually identical. The two estimators agreed closely throughout, reflecting the low incidence of the competing event of death (28 events). The Schoenfeld residual rank test did not indicate a violation of the proportional-hazards assumption (p = 0.34). For the Major Cardiovascular Events composite, the Schoenfeld test yielded p = 0.045, likely reflecting the sparse event count rather than a genuine departure from proportionality; only five events occurred (three vaccinated, two unvaccinated) yielding a cause-specific hazard ratio of 1.96 with a wide 95% confidence interval of 0.31 to 12.44 (p = 0.47). Among the individual conditions, hazard ratios ranged from 1.25 for diabetes (incidence rates 1.72 vs 1.45 per 1,000 person-years; 95% CI 0.68 to 2.28, p = 0.48) to 1.49 for hypertension (95% CI 0.53 to 4.18, p = 0.45); estimates for stroke and pulmonary embolism could not be obtained because no events occurred in one or both groups, and the Angina/MI estimate was unstable owing to fewer than five events overall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supporting the robustness of the primary estimate. No hazard ratio for any individual or composite endpoint reached statistical significance.</w:t>
      </w:r>
    </w:p>
    <w:bookmarkEnd w:id="29"/>
    <w:bookmarkStart w:id="30" w:name="cohort-b-post-surgical-vaccine-efficacy"/>
    <w:p>
      <w:pPr>
        <w:pStyle w:val="Heading3"/>
      </w:pPr>
      <w:r>
        <w:t xml:space="preserve">Cohort B — Post-surgical vaccine efficacy</w:t>
      </w:r>
    </w:p>
    <w:p>
      <w:pPr>
        <w:pStyle w:val="FirstParagraph"/>
      </w:pPr>
      <w:r>
        <w:t xml:space="preserve">Under the pre-specified ≥2-dose + 3-month landmark primary definition the analytic Cohort B comprised 934 women (204 vaccinated, 730 fine-matched controls; matched-set integrity preserved by dropping the full set for any vaccinated case failing the dose or landmark filter). Among these, 43 biopsy-confirmed lesion recurrences accrued (10 of 204 vaccinated, incidence rate 8.83 per 1,000 person-years over 1,132 vaccinated person-years; 33 of 730 controls, incidence rate 8.36 per 1,000 person-years over 3,947 unvaccinated person-years). In age-adjusted Cox models with cluster-robust standard errors using the fine-matching identifier, vaccination was not associated with lesion recurrence (hazard ratio 1.01, 95% CI 0.49–2.06; p = 0.99). Under the alternative ≥1-dose, no-landmark exposure definition the same outcome had previously yielded a directionally protective but non-significant estimate (HR 0.80, 95% CI 0.44–1.43; p = 0.45); the collapse of this directional signal once the dose-threshold and landmark filters were applied indicates that an appreciable fraction of the legacy 0.80 estimate reflected immortal-time selection rather than biological protection. We treat this collapse transparently as a limitation of the present cohort’s lesion-recurrence inference (see Discussion). The Schoenfeld residual rank test did not indicate violation of the proportional-hazards assumption on the vaccinated covariate (p &gt; 0.20).</w:t>
      </w:r>
    </w:p>
    <w:p>
      <w:pPr>
        <w:pStyle w:val="BodyText"/>
      </w:pPr>
      <w:r>
        <w:t xml:space="preserve">Among the 235 women (92 vaccinated, 143 matched controls; pre-vaccine hr-HPV positivity preserved through landmark filtering) eligible for the clearance co-primary, the second co-primary outcome — time from index + 90 days to the first of two consecutive post-index molecular pathology records explicitly negative for hr-HPV — occurred in 31 of 92 vaccinated and 28 of 143 controls. The age-adjusted, cluster-robust hazard ratio for vaccination was</w:t>
      </w:r>
      <w:r>
        <w:t xml:space="preserve"> </w:t>
      </w:r>
      <w:r>
        <w:rPr>
          <w:b/>
          <w:bCs/>
        </w:rPr>
        <w:t xml:space="preserve">1.85 (95% CI 1.09–3.17; p = 0.024)</w:t>
      </w:r>
      <w:r>
        <w:t xml:space="preserve">, where a hazard ratio greater than 1 corresponds to faster clearance in the vaccinated arm. This is the principal post-surgical efficacy finding of the study: HPV vaccination after surgical excision was associated with approximately twofold faster clearance of pre-existing high-risk HPV in women who had documented HR-HPV positivity before vaccination, after accounting for the immortal-time concern by requiring at least two recorded vaccine doses and applying a symmetric 3-month landmark. Among women who achieved the clearance event, the</w:t>
      </w:r>
      <w:r>
        <w:t xml:space="preserve"> </w:t>
      </w:r>
      <w:r>
        <w:rPr>
          <w:b/>
          <w:bCs/>
        </w:rPr>
        <w:t xml:space="preserve">Kaplan–Meier estimated median sustained-clearance time</w:t>
      </w:r>
      <w:r>
        <w:t xml:space="preserve"> </w:t>
      </w:r>
      <w:r>
        <w:t xml:space="preserve">(reversion-free time from first clearance event to first subsequent hr-HPV-positive molecular pathology record, censoring at last follow-up if no reversion occurred) was 10.79 years (Q25 2.31, Q75 not reached) in vaccinated women (n = 31; 13 reversion events, 18 censored) and 5.67 years (Q25 1.91, Q75 not reached) in unvaccinated controls (n = 28; 13 reversion events, 15 censored), with log-rank p = 0.317. These KM medians should be interpreted with caution because the analysis is conditional on clearance achievement and therefore selects for patients with longer total follow-up (median total follow-up from index was 8.67 years in vaccinated clearance achievers compared with 4.87 years in the full v3 vaccinated cohort), because the reversion event count is small (13 per arm), and because the KM curves show three-year plateaus near S(t) = 0.5 that make the median estimate unstable. We therefore additionally report the</w:t>
      </w:r>
      <w:r>
        <w:t xml:space="preserve"> </w:t>
      </w:r>
      <w:r>
        <w:rPr>
          <w:b/>
          <w:bCs/>
        </w:rPr>
        <w:t xml:space="preserve">5-year reversion-free probability</w:t>
      </w:r>
      <w:r>
        <w:t xml:space="preserve"> </w:t>
      </w:r>
      <w:r>
        <w:t xml:space="preserve">as a more stable summary at a clinically interpretable horizon: this probability was</w:t>
      </w:r>
      <w:r>
        <w:t xml:space="preserve"> </w:t>
      </w:r>
      <w:r>
        <w:rPr>
          <w:b/>
          <w:bCs/>
        </w:rPr>
        <w:t xml:space="preserve">56.9% in vaccinated and 53.3% in unvaccinated clearance achievers</w:t>
      </w:r>
      <w:r>
        <w:t xml:space="preserve"> </w:t>
      </w:r>
      <w:r>
        <w:t xml:space="preserve">— a difference of less than 4 percentage points (</w:t>
      </w:r>
      <w:r>
        <w:rPr>
          <w:b/>
          <w:bCs/>
        </w:rPr>
        <w:t xml:space="preserve">Table 3</w:t>
      </w:r>
      <w:r>
        <w:t xml:space="preserve">). The discrepancy between the apparently large median difference (10.79 vs 5.67 y) and the negligible 5-year-probability difference (0.569 vs 0.533) underscores that the median figures are dominated by long late-follow-up plateaus rather than by an arm difference in early reversion risk. A pre-specified piecewise time-stratified Cox model under the v3 primary (Sens-B) decomposed the 1.85 average hazard ratio into a significant 0–6-month post-landmark window (HR 2.20, 95% CI 1.03–4.68; p = 0.042) with non-significant point estimates in later windows, consistent with the timing of immune-memory recall in women who have already received ≥2 doses by the landmark. Cumulative clearance curves under the ≥2-dose + 3-month landmark primary are shown in</w:t>
      </w:r>
      <w:r>
        <w:t xml:space="preserve"> </w:t>
      </w:r>
      <w:r>
        <w:rPr>
          <w:b/>
          <w:bCs/>
        </w:rPr>
        <w:t xml:space="preserve">Figure 3</w:t>
      </w:r>
      <w:r>
        <w:t xml:space="preserve"> </w:t>
      </w:r>
      <w:r>
        <w:t xml:space="preserve">(panel b) and</w:t>
      </w:r>
      <w:r>
        <w:t xml:space="preserve"> </w:t>
      </w:r>
      <w:r>
        <w:rPr>
          <w:b/>
          <w:bCs/>
        </w:rPr>
        <w:t xml:space="preserve">Table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For each outcome,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3.07, p = 0.22), and the test for age × vaccination interaction was likewise non-significant (lesion recurrence p = 0.07; hr-HPV clearance p = 0.37). A nominal quadrivalent-specific signal appeared in the legacy post-index hr-HPV detection sensitivity row of the same vaccine-type interaction model (HR 0.40, 95% CI 0.21–0.76; LRT p = 0.004; sensitivity row reported in Supplementary Table S5); we interpret this as residual calendar-period and surgery-to-vaccination-timing confounding rather than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w:t>
      </w:r>
    </w:p>
    <w:p>
      <w:pPr>
        <w:pStyle w:val="BodyText"/>
      </w:pPr>
      <w:r>
        <w:t xml:space="preserve">The five pre-specified sensitivity analyses — recomputed under the v3 primary cohort — were consistent with, and refined, the primary findings (</w:t>
      </w:r>
      <w:r>
        <w:rPr>
          <w:b/>
          <w:bCs/>
        </w:rPr>
        <w:t xml:space="preserve">Supplementary Figure S6</w:t>
      </w:r>
      <w:r>
        <w:t xml:space="preserve">, summary forest plot).</w:t>
      </w:r>
      <w:r>
        <w:t xml:space="preserve"> </w:t>
      </w:r>
      <w:r>
        <w:rPr>
          <w:b/>
          <w:bCs/>
        </w:rPr>
        <w:t xml:space="preserve">(i)</w:t>
      </w:r>
      <w:r>
        <w:t xml:space="preserve"> </w:t>
      </w:r>
      <w:r>
        <w:t xml:space="preserve">For the clearance co-primary, the more permissive single-negative event definition produced a hazard ratio of 1.70 (95% CI 1.13–2.56, p = 0.011) on 91 vaccinated and 139 control women, compared with 1.85 (1.09–3.17, p = 0.024)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pre-specified piecewise time-stratified clearance model — fit because the Schoenfeld test indicated PH violation under the legacy primary — decomposed the average hazard ratio of 1.85 into a</w:t>
      </w:r>
      <w:r>
        <w:t xml:space="preserve"> </w:t>
      </w:r>
      <w:r>
        <w:rPr>
          <w:b/>
          <w:bCs/>
        </w:rPr>
        <w:t xml:space="preserve">2.20 (1.03–4.68, p = 0.042) signal in the 0–6-month window</w:t>
      </w:r>
      <w:r>
        <w:t xml:space="preserve"> </w:t>
      </w:r>
      <w:r>
        <w:t xml:space="preserve">post-landmark (19 vaccinated and 14 control events), a 1.58 (0.71–3.52) point estimate in 6–12 months, a 1.34 (0.30–6.07) point estimate in 12–24 months, and a 1.08 (0.09–13.45) estimate beyond 24 months. Under the v3 primary the dominant clearance signal therefore localises to the earliest 0–6-month post-landmark window — biologically consistent with the timing of immune-memory recall in women who have already received at least two doses at the time the landmark begins.</w:t>
      </w:r>
      <w:r>
        <w:t xml:space="preserve"> </w:t>
      </w:r>
      <w:r>
        <w:rPr>
          <w:b/>
          <w:bCs/>
        </w:rPr>
        <w:t xml:space="preserve">(iii)</w:t>
      </w:r>
      <w:r>
        <w:t xml:space="preserve"> </w:t>
      </w:r>
      <w:r>
        <w:t xml:space="preserve">Restricting the vaccinated arm to ≥2 and ≥3 (complete schedule) recorded doses with full matched-set preservation produced lesion-recurrence hazard ratios of 0.74 (0.39–1.39) and 0.61 (0.30–1.24), respectively, and hr-HPV clearance hazard ratios of 1.40 (0.90–2.17) and 1.59 (0.97–2.60) when computed without a landmark (Supplementary Table S8A; these are the original ≥1-dose-anchored</w:t>
      </w:r>
      <w:r>
        <w:t xml:space="preserve"> </w:t>
      </w:r>
      <w:r>
        <w:t xml:space="preserve">“dose-response”</w:t>
      </w:r>
      <w:r>
        <w:t xml:space="preserve"> </w:t>
      </w:r>
      <w:r>
        <w:t xml:space="preserve">estimates retained for comparison). Adding the 3-month landmark (Supplementary Table S8B) collapses the lesion-recurrence dose-response (HR 1.12, 95% CI 0.54–2.30 at the ≥2-dose, 90-day landmark — corresponding to the present v3 primary specification), while the hr-HPV clearance HR at the same landmark is 1.45 (0.95–2.21, p = 0.081) under the broader ≥1-dose ascertainment and 1.85 (1.09–3.17, p = 0.024) under the v3 primary.</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landmark (in addition to the 90-day landmark already in the primary specification) yielded recurrence hazard ratios of 0.96, 0.92, and 0.97, respectively — all consistent with the primary 1.01 null estimate. Collectively, the five sensitivity analyses preserve the null inference for lesion recurrence and the significantly accelerated inference for clearance under the v3 primary, with the time-stratified analysis localising the clearance signal to the earliest 0–6-month post-landmark window.</w:t>
      </w:r>
    </w:p>
    <w:p>
      <w:r>
        <w:pict>
          <v:rect style="width:0;height:1.5pt" o:hralign="center" o:hrstd="t" o:hr="t"/>
        </w:pict>
      </w:r>
    </w:p>
    <w:bookmarkEnd w:id="30"/>
    <w:bookmarkEnd w:id="31"/>
    <w:bookmarkStart w:id="32"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Any-of-5 composite; (ii) under the pre-specified ≥2-dose + 3-month landmark primary exposure definition the absence of a protective effect of post-surgical vaccination on biopsy-confirmed lesion recurrence (HR 1.01, 95% CI 0.49–2.06; p = 0.99), with the legacy ≥1-dose, no-landmark estimate of 0.80 (0.44–1.43) collapsing to null under the tighter definition consistent with substantial immortal-time selection in the more permissive analysis; and (iii) a statistically significant association of post-surgical vaccination with</w:t>
      </w:r>
      <w:r>
        <w:t xml:space="preserve"> </w:t>
      </w:r>
      <w:r>
        <w:rPr>
          <w:b/>
          <w:bCs/>
        </w:rPr>
        <w:t xml:space="preserve">faster hr-HPV clearance</w:t>
      </w:r>
      <w:r>
        <w:t xml:space="preserve"> </w:t>
      </w:r>
      <w:r>
        <w:t xml:space="preserve">among women with documented pre-vaccine high-risk positivity (HR 1.85, 95% CI 1.09–3.17; p = 0.024),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The legacy post-index hr-HPV detection sensitivity outcome — an endpoint that conflates persistence of the pre-surgical infection with new acquisition — yielded a nominal quadrivalent-specific signal in the same vaccine-type interaction model (HR 0.40, 95% CI 0.21–0.76; LRT p = 0.004; sensitivity row reported in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(which contains all four antigens of the quadrivalent product plus five additional high-risk types and would be expected to confer at least equivalent protection) and is more parsimoniously explained by residual calendar-period and surgery-to-vaccination-timing confounding than by a quadrivalent-specific antigenic mechanism — the quadrivalent subgroup numbered only 36 vaccinated women. The signal is reported here for transparency and treated as hypothesis-generating only; we do not interpret it as evidence of vaccine-type effect modification on the co-primary clearance outcome.</w:t>
      </w:r>
    </w:p>
    <w:p>
      <w:pPr>
        <w:pStyle w:val="BodyText"/>
      </w:pPr>
      <w:r>
        <w:t xml:space="preserve">Several limitations qualify the principal Cohort B inference.</w:t>
      </w:r>
      <w:r>
        <w:t xml:space="preserve"> </w:t>
      </w:r>
      <w:r>
        <w:rPr>
          <w:b/>
          <w:bCs/>
        </w:rPr>
        <w:t xml:space="preserve">First</w:t>
      </w:r>
      <w:r>
        <w:t xml:space="preserve">, the directional protective signal for lesion recurrence under the more permissive ≥1-dose, no-landmark exposure definition (HR 0.80, 95% CI 0.44–1.43) collapsed to a null estimate (HR 1.01, 0.49–2.06) under the pre-specified ≥2-dose + 3-month landmark primary definition. This collapse is informative rather than disqualifying — it indicates that a meaningful fraction of the legacy 0.80 estimate was attributable to immortal-time selection (a woman who reached her second-dose date had necessarily survived event-free up to that point) rather than to biological protection from vaccination. Under the tighter, biologically more credible exposure definition, the present cohort provides</w:t>
      </w:r>
      <w:r>
        <w:t xml:space="preserve"> </w:t>
      </w:r>
      <w:r>
        <w:rPr>
          <w:b/>
          <w:bCs/>
        </w:rPr>
        <w:t xml:space="preserve">no evidence of post-surgical protection against lesion recurrence</w:t>
      </w:r>
      <w:r>
        <w:t xml:space="preserve">; whether the true effect is null or a modest protective effect masked by the limited event count (10 vaccinated and 33 unvaccinated recurrences after the dose and landmark filters) cannot be resolved with this sample size. The contrast between the recurrence (null) and clearance (significantly accelerated) findings under the same primary exposure definition is internally consistent with a model in which vaccination accelerates clearance of pre-existing HR-HPV but does not reverse the precursor dysplastic lesions that have already initiated.</w:t>
      </w:r>
      <w:r>
        <w:t xml:space="preserve"> </w:t>
      </w:r>
      <w:r>
        <w:rPr>
          <w:b/>
          <w:bCs/>
        </w:rPr>
        <w:t xml:space="preserve">Second</w:t>
      </w:r>
      <w:r>
        <w:t xml:space="preserve">, the clearance subset, while internally consistent, is restricted to the 235 women with documented pre-vaccine hr-HPV positivity surviving the landmark filter, limiting power to detect heterogeneity by age or vaccine type.</w:t>
      </w:r>
      <w:r>
        <w:t xml:space="preserve"> </w:t>
      </w:r>
      <w:r>
        <w:rPr>
          <w:b/>
          <w:bCs/>
        </w:rPr>
        <w:t xml:space="preserve">Third</w:t>
      </w:r>
      <w:r>
        <w:t xml:space="preserve">, additional limitations include the single-centre design, the modest absolute number of cardiovascular events (limiting power for the MCE composite), the dependence of HPV ascertainment on opportunistic testing, the absence of granular data on socioeconomic status, sexual behaviour, and partner vaccination, and the residual potential for unmeasured confounding despite propensity-score and fine matching — most notably for the clearance co-primary outcome, in which the matched-set structure cannot fully balance the indication for voluntarily seeking post-surgical vaccination. The clearance outcome required a documented pre-vaccine pathology record, restricting the v3 analytic subset to 235 patients (n = 92 vaccinated and 143 controls after landmark filtering with matched-set integrity; 59 clearance events in total, 31 vaccinated and 28 control) and limiting power for further stratified inference, although the overall v3 clearance HR reached conventional significance (1.85, p = 0.024). The post-index hr-HPV detection sensitivity row in Supplementary Table S6 (which captures persistence, reactivation, and new acquisition together) showed no overall protective effect (HR 0.91, 95% CI 0.76–1.08); we treat the apparent quadrivalent-specific signal in that sensitivity as artefactual for the reasons given above. Several additional methodological caveats merit mention. The pseudo-index assignment used to anchor follow-up time for unvaccinated controls in Cohort A is not unique; the Supplementary Table S7 sensitivity comparing three reasonable strategies observed concordant results. We did not apply formal multiple-comparison adjustment for the two Cohort B co-primary outcomes because they represent distinct biological hypotheses (post-surgical lesion regrowth versus clearance of pre-existing high-risk infection); both were null at the nominal threshold, so any plausible adjustment would not alter the substantive conclusion. The subgroup and interaction findings are explicitly framed as hypothesis-generating; in particular, an exploratory grid search across many overlapping age and follow-up windows had identified a single nominally significant cell (women aged 30 to 52 years, 2-year follow-up window: HR 0.23, 95% CI 0.06–0.96) that did not survive any reasonable adjustment for the approximately 6,900 combinations searched, attenuated with longer follow-up, and is therefore not reported in the main figure and not used to support any inference. The v3 post-surgical efficacy analysis was conducted with limited statistical power for lesion recurrence: only 10 recurrences accrued in the vaccinated arm and 33 in controls after the dose and landmark filters, so the analysis was sensitive to detect protective effects only of magnitude approximately HR ≤ 0.5 at 80% power; a modest true protective effect could plausibly remain undetected. The combination of a long-followed prospective cohort with retrospective CDW augmentation is a methodological strength that allowed us to track clinically important outcomes that would have been undetectable in shorter follow-up windows, while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2"/>
    <w:bookmarkStart w:id="40"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3">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4">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5">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6">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7">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38">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39">
        <w:r>
          <w:rPr>
            <w:rStyle w:val="Hyperlink"/>
          </w:rPr>
          <w:t xml:space="preserve">10.1016/0197-2456(96)00075-X</w:t>
        </w:r>
      </w:hyperlink>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pst.433" TargetMode="External" /><Relationship Type="http://schemas.openxmlformats.org/officeDocument/2006/relationships/hyperlink" Id="rId37" Target="https://doi.org/10.1002/sim.6004" TargetMode="External" /><Relationship Type="http://schemas.openxmlformats.org/officeDocument/2006/relationships/hyperlink" Id="rId39" Target="https://doi.org/10.1016/0197-2456(96)00075-X" TargetMode="External" /><Relationship Type="http://schemas.openxmlformats.org/officeDocument/2006/relationships/hyperlink" Id="rId33" Target="https://doi.org/10.1016/S0140-6736(07)61602-X" TargetMode="External" /><Relationship Type="http://schemas.openxmlformats.org/officeDocument/2006/relationships/hyperlink" Id="rId38" Target="https://doi.org/10.1093/aje/kwm324" TargetMode="External" /><Relationship Type="http://schemas.openxmlformats.org/officeDocument/2006/relationships/hyperlink" Id="rId35" Target="https://doi.org/10.1111/j.1541-0420.2010.01420.x" TargetMode="External" /><Relationship Type="http://schemas.openxmlformats.org/officeDocument/2006/relationships/hyperlink" Id="rId36"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2026-05-26T14:04:57Z</dcterms:created>
  <dcterms:modified xsi:type="dcterms:W3CDTF">2026-05-26T14:04:57Z</dcterms:modified>
</cp:coreProperties>
</file>

<file path=docProps/custom.xml><?xml version="1.0" encoding="utf-8"?>
<Properties xmlns="http://schemas.openxmlformats.org/officeDocument/2006/custom-properties" xmlns:vt="http://schemas.openxmlformats.org/officeDocument/2006/docPropsVTypes"/>
</file>