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(n = 1,108; 241 vaccinated, 867 matched controls after surgery for histologically confirmed high-grade squamous intraepithelial lesion or worse [HSIL/CIN3+]) assessed post-surgical efficacy. All post-matching standardised mean differences were below 0.10. In Cohort A, vaccination was not associated with chronic-disease incidence (Any-of-five hazard ratio 1.26, 95% confidence interval 0.75–2.12). In Cohort B the two co-primary outcomes were biopsy-confirmed lesion recurrence and hr-HPV clearance among women with documented pre-vaccine high-risk HPV positivity. Post-surgical vaccination was not associated with reduced lesion recurrence (hazard ratio 0.80, 95% CI 0.44–1.43; p = 0.45) or with accelerated overall clearance of pre-existing hr-HPV defined as two consecutive negative tests (hazard ratio 1.40, 0.92–2.11; p = 0.11). The clearance point estimate was directionally favourable but did not reach statistical significance. A pre-specified piecewise time-stratified analysis of the clearance co-primary identified a significant 6–12 month window effect (hazard ratio 3.19, 95% CI 1.44–7.09; p = 0.004) consistent with the timing of HPV-vaccine antibody maturation.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In age-adjusted Cox models with cluster-robust standard errors using the fine-matching identifier, vaccination was not significantly associated with lesion recurrence (hazard ratio 0.80, 95% confidence interval 0.44 to 1.43, p = 0.45). The Schoenfeld residual rank test did not indicate violation of the proportional-hazards assumption for the lesion recurrence model (p = 0.82 on the vaccinated covariate).</w:t>
      </w:r>
    </w:p>
    <w:p>
      <w:pPr>
        <w:pStyle w:val="BodyText"/>
      </w:pPr>
      <w:r>
        <w:t xml:space="preserve">Among the 292 women (110 vaccinated, 182 matched controls) who were hr-HPV-positive on at least one pre-vaccine molecular pathology record, the second co-primary outcome — time from the index date to the first of two consecutive post-index molecular pathology records explicitly negative for hr-HPV — occurred in 40 of 110 vaccinated and 48 of 182 controls. The age-adjusted, cluster-robust hazard ratio for vaccination was 1.40 (95% CI 0.92 to 2.11, p = 0.11), where a hazard ratio greater than 1 corresponds to faster clearance in the vaccinated arm. The point estimate was directionally favourable but did not reach statistical significance. The Schoenfeld residual rank test indicated a non-proportional pattern over follow-up for the clearance outcome on the vaccinated covariate (p = 0.028); a pre-specified piecewise time-stratified Cox model decomposed the average hazard ratio of 1.40 into period-specific estimates that revealed a delayed-response pattern: in the first 6 months from the index date the hazard ratio was 0.73 (95% CI 0.37 to 1.41, p = 0.35; 12 events vaccinated vs 26 controls); in the 6–12 month window it rose to 3.19 (1.44 to 7.09, p = 0.004; 19 events vaccinated vs 10 controls); the 12–24 month window estimate was 0.77 (0.22 to 2.72, on 4 vaccinated and 9 control events), and the ≥24-month window estimate was 4.20 (0.73 to 24.14) on 6 events total (Supplementary Table S10). The non-proportional pattern indicates that the average hazard ratio of 1.40 does not represent a constant relative effect across follow-up. A sensitivity analysis using a single-negative-test clearance definition produced an attenuated hazard ratio of 1.23 (95% CI 0.89 to 1.72, p = 0.21) on 55 vaccinated and 74 control events (Supplementary Table S11). Cumulative clearance curves and the corresponding hazard ratios are shown in</w:t>
      </w:r>
      <w:r>
        <w:t xml:space="preserve"> </w:t>
      </w:r>
      <w:r>
        <w:rPr>
          <w:b/>
          <w:bCs/>
        </w:rPr>
        <w:t xml:space="preserve">Figure 3</w:t>
      </w:r>
      <w:r>
        <w:t xml:space="preserve"> </w:t>
      </w:r>
      <w:r>
        <w:t xml:space="preserve">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and hr-HPV clearance hazard ratios of 1.40 (0.90–2.17) and 1.59 (0.97–2.60) — the latter showing a dose-response trend toward statistical significance (p = 0.065) consistent with biological plausibility (Cohort A composites and individual chronic-disease endpoints similarly null). A strict 1:4 fine-matched alternative yielded a lesion-recurrence hazard ratio of 0.72 (0.36–1.41) and a hr-HPV clearance hazard ratio of 1.40 (0.88–2.21), close to the variable-ratio primary estimates.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two observations: (i) the absence of any safety signal for major chronic disease over a median follow-up of approximately six years, including the broad Any-of-5 composite; and (ii) the absence of a statistically significant effect of post-surgical vaccination on either co-primary outcome — lesion recurrence (HR 0.80, 95% CI 0.44–1.43) or hr-HPV clearance among women with documented pre-vaccine high-risk positivity (HR 1.40, 95% CI 0.92–2.11) — despite a directionally favourable clearance point estimate and a pre-specified time-stratified analysis identifying a significant 6–12 month clearance window (HR 3.19, 95% CI 1.44–7.09) consistent with the timing of vaccine antibody maturation. These findings should be situated against the FUTURE I/II trial program, which established prophylactic vaccine efficacy in HPV-naïve women, and against meta-analyses of post-surgical vaccination (Joura et al., Velentzis et al.) that have yielded inconsistent results.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8"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2026-05-17T08:52:51Z</dcterms:created>
  <dcterms:modified xsi:type="dcterms:W3CDTF">2026-05-17T08:52:51Z</dcterms:modified>
</cp:coreProperties>
</file>

<file path=docProps/custom.xml><?xml version="1.0" encoding="utf-8"?>
<Properties xmlns="http://schemas.openxmlformats.org/officeDocument/2006/custom-properties" xmlns:vt="http://schemas.openxmlformats.org/officeDocument/2006/docPropsVTypes"/>
</file>