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1:up-to-4 fine matching, and the primary exposure filter (≥2 doses + 3-month landmark with matched-set integrity preserved) yielding the primary analytic cohort n = 934 (204 vaccinated / 730 controls).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96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9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6844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lesion-recurrence analytic sample (n = 912: 203 vaccinated / 709 controls); (b) cumulative clearance of pre-existing hr-HPV (two-consecutive-negative event) in the clearance subset (n = 235: 92 vaccinated / 143 controls). The x-axis is years from the 3-month landmark (index + 90 days). For clearance, HR &gt; 1 favours the vaccinated arm.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7388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38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of Cohort A (chronic-disease safety analysis) after 1:1 propensity-score matching and primary exposure filtering. N = 2,776 (1,396 vaccinated / 1,380 matched controls).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33.90 ± 9.34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33.27 ± 11.54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1982.36 ± 10.23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1981.42 ± 11.23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2016.21 ± 3.92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2014.63 ± 3.77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437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468 (33.9%)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161.10 ± 5.38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160.66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57.54 ± 10.00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56.53 ± 9.91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22.75 ± 2.35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22.70 ± 2.28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116.09 ± 9.63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115.81 ± 10.23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72.42 ± 7.49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72.12 ± 7.58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458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421 (30.5%)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908 (65.0%)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927 (67.2%)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 (1.3%)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2071.01 ± 1566.61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2792.10 ± 1562.27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of Cohort B (post-surgical efficacy analysis) after variable-ratio 1:up-to-4 fine matching and primary exposure filtering. N = 934 (204 vaccinated / 730 fine-matched controls). Absolute standardised mean differences (|SMD|) &lt; 0.10 indicate adequate balance. Pre- and post-surgery HPV status and surgical-pathology severity rows characterise the cervical-disease context at the time of the qualifying surgery.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601 (46.6)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reversion-free)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0.58 (0.27–1.26)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hr-HPV clearance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