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3. Cohort B — co-primary outcomes under ≥2-dose + 3-mo landmark primary definition (age-adjusted Cox PH, cluster-robust SE on fine_match_id)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Vaccinated, n (events)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Non-vaccinated, n (events)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PY (vac / non)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IR per 1000 PY (vac / non)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HR (95% CI)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Lesion recurrence (≥CIN2/HSIL+ or invasive carcinoma)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203 (10)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709 (33)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1132 / 3947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8.8 / 8.4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1.01 (0.49–2.06)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0.985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hr-HPV clearance (two consecutive post-index negatives)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92 (31)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143 (28)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324 / 617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95.7 / 45.4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1.85 (1.09–3.17)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0.024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Sustained clearance duration (among patients with clearance event)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Vaccinated — median (IQR), years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31 clearance events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3.20 (IQR 2.14–7.53)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Vaccinated — reversion (HR-HPV+ reappearance after clearance)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 (41.9%)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Non-vaccinated — median (IQR), years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28 clearance events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2.59 (IQR 1.69–4.76)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Non-vaccinated — reversion (HR-HPV+ reappearance after clearance)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 (46.4%)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Sensitivity (lesion recurrence): exposure-definition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≥1 dose, no landmark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241 (13)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867 (57)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1405 / 5052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9.2 / 11.3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0.80 (0.44–1.43)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0.445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 xml:space="preserve">  ≥3 dose, no landmark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167 (7)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601 (40)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935 / 3206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7.5 / 12.5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0.58 (0.27–1.25)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0.168</w:t>
            </w:r>
          </w:p>
        </w:tc>
      </w:tr>
    </w:tbl>
    <w:p>
      <w:r>
        <w:rPr>
          <w:sz w:val="16"/>
        </w:rPr>
        <w:br/>
        <w:t>Primary exposure: ≥2 distinct HPV-vaccine prescription dates. 3-month landmark applied symmetrically across arms: index date shifted to index + 90 days; patients with &lt;90 days follow-up or with outcome event in first 90 days excluded; matched non-vaccinated controls of excluded vaccinated cases dropped (matched-set integrity). For lesion recurrence, HR &lt; 1 favours vaccination; for hr-HPV clearance, HR &gt; 1 favours vaccination. Sustained clearance duration measured from first clearance event (first of two consecutive negatives) to first subsequent HR-HPV+ test (reversion) or last follow-up, whichever first. Reversion = any HR-HPV+ molecular pathology after the clearance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