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pPr>
        <w:pStyle w:val="Heading2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9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1_loveplot_cohor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S1</w:t>
      </w:r>
      <w:r>
        <w:t>. Love plot — covariate balance before and after 1:1 propensity-score matching (Cohort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1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2_loveplot_cohort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S2</w:t>
      </w:r>
      <w:r>
        <w:t>. Love plot — covariate balance before and after fine variable-ratio (1:up-to-4) matching (Cohort B).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3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3_ps_dens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S3</w:t>
      </w:r>
      <w:r>
        <w:t>. Propensity-score density distributions, before and after matching.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A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S4 panel a</w:t>
      </w:r>
      <w:r>
        <w:t>. Schoenfeld residual plot — Cohort A, Any-of-5 composite.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3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A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S4 panel b</w:t>
      </w:r>
      <w:r>
        <w:t>. Schoenfeld residual plot — Cohort A, Diabetes.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3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B_has_recur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S5 panel a</w:t>
      </w:r>
      <w:r>
        <w:t>. Schoenfeld residual plot — Cohort B lesion recurrence.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7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check_B_clear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S5 panel b</w:t>
      </w:r>
      <w:r>
        <w:t>. Schoenfeld residual plot — Cohort B hr-HPV clearance (two-consecutive-negative event, pre-vaccine HPV-positive subset).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35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FigS6_Sensitivity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Supplementary Figure S6</w:t>
      </w:r>
      <w:r>
        <w:t>. Pre-specified Cohort B sensitivity analyses — five-panel summary forest plot (Sens-A event-definition, Sens-B time-stratified, Sens-C dose threshold, Sens-D strict matching, Sens-E disease-free interval).</w:t>
      </w:r>
    </w:p>
    <w:p/>
    <w:p>
      <w:r>
        <w:br w:type="page"/>
      </w:r>
    </w:p>
    <w:p>
      <w:pPr>
        <w:pStyle w:val="Heading2"/>
      </w:pPr>
      <w:r>
        <w:t>Supplementary Tables</w:t>
      </w:r>
    </w:p>
    <w:p>
      <w:r>
        <w:rPr>
          <w:b/>
        </w:rPr>
        <w:t>Supplementary Table S1A</w:t>
      </w:r>
      <w:r>
        <w:t>. Pre-matching baseline characteristics — Cohort A (full source population, before 1:1 propensity-score matching).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33.46 ± 9.18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46.90 ± 14.50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1982.32 ± 10.10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1968.93 ± 13.91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1.102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2015.73 ± 4.11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2015.77 ± 4.11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0.703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739 (34.3%)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9031 (29.3%)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161.37 ± 5.32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158.56 ± 6.63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57.50 ± 9.73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57.82 ± 9.73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0.365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22.12 ± 3.53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23.34 ± 10.32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0.158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113.01 ± 13.22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119.72 ± 17.44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0.434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70.64 ± 10.65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74.21 ± 15.74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0.265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675 (31.3%)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6582 (21.4%)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0.227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 (0.3%)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37 (1.7%)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246 (0.8%)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1434 (66.5%)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23885 (77.5%)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0.247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Angina / Myocardial infarction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115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0.468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 (0.6%)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128 (0.4%)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Pulmonary embolism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(0.0%)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24 (1.1%)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227 (0.7%)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0.071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2134.52 ± 1733.35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2058.48 ± 2146.15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 (0.3%)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283 (0.9%)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0.083</w:t>
            </w:r>
          </w:p>
        </w:tc>
      </w:tr>
    </w:tbl>
    <w:p>
      <w:r>
        <w:br w:type="page"/>
      </w:r>
    </w:p>
    <w:p>
      <w:r>
        <w:rPr>
          <w:b/>
        </w:rPr>
        <w:t>Supplementary Table S1B</w:t>
      </w:r>
      <w:r>
        <w:t>. Pre-matching baseline characteristics — Cohort B (post-surgical population, before 1:up-to-4 fine matching).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Vaccinated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Non-vaccinated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|SMD|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Demographics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index,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36.40 ± 9.40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49.31 ± 12.94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1.141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Birth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1979.96 ± 10.11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1968.29 ± 13.07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0.998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Index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2016.32 ± 4.24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2017.53 ± 4.01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Residence in Seoul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164 (29.0%)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1320 (20.9%)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Anthropometry &amp; Vital signs (closest to index, ±1 yr)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Height, cm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161.21 ± 5.39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157.99 ± 6.51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Weight, kg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57.47 ± 9.65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58.12 ± 9.71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0.229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0.067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BMI, kg/m²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22.12 ± 3.54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23.56 ± 9.25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0.205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Systolic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113.21 ± 13.44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117.45 ± 15.69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Diastolic BP, mmHg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72.17 ± 11.04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73.39 ± 11.73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Smoking status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Never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207 (36.6%)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3380 (53.4%)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0.344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Former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 (0.5%)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 (0.5%)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0.756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Current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17 (3.0%)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146 (2.3%)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0.310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Unknown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339 (59.9%)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2767 (43.8%)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0.327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Pre-existing comorbidities (before index)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Angina / Myocardial infarction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Hypertension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 (0.9%)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132 (2.1%)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Diabetes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 (0.7%)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154 (2.4%)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0.005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Stroke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 (0.2%)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Pulmonary embolism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 (0.0%)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(0.1%)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Composite (any of 5)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 (1.6%)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262 (4.1%)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0.153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Surgery type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Conization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545 (96.3%)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4965 (78.5%)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Hysterectomy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21 (3.7%)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1359 (21.5%)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Age at surgery, years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36.81 ± 9.41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48.67 ± 12.91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1.049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Surgery year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2016.72 ± 4.22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2016.89 ± 3.87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0.330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Surgery → index,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-149.37 ± 954.96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232.33 ± 381.31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0.525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Follow-up, days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2082.03 ± 1615.73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1623.30 ± 1491.23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&lt;0.001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 xml:space="preserve">  Mortality during follow-up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 (0.2%)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 (1.2%)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0.030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0.120</w:t>
            </w:r>
          </w:p>
        </w:tc>
      </w:tr>
    </w:tbl>
    <w:p>
      <w:r>
        <w:br w:type="page"/>
      </w:r>
    </w:p>
    <w:p>
      <w:r>
        <w:rPr>
          <w:b/>
        </w:rPr>
        <w:t>Supplementary Table S2</w:t>
      </w:r>
      <w:r>
        <w:t>. Propensity-score model coefficients (logistic regression) for Cohort A.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Covariate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Mean (vaccinated)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Mean (non-vaccinated)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Coefficient (β)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Standardized β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Odds ratio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age_at_index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33.51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46.30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-0.078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-1.143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22.71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23.18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-0.087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bmi_miss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0.046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sbp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115.95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118.72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-0.048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sbp_miss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-0.755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-0.294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dbp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72.22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73.71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-0.003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dbp_miss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-0.791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-0.308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is_seoul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1.03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smoke_Never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0.640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0.260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1.90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smoke_Former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0.443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smoke_Current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0.513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0.045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1.67</w:t>
            </w:r>
          </w:p>
        </w:tc>
      </w:tr>
    </w:tbl>
    <w:p>
      <w:r>
        <w:br w:type="page"/>
      </w:r>
    </w:p>
    <w:p>
      <w:r>
        <w:rPr>
          <w:b/>
        </w:rPr>
        <w:t>Supplementary Table S3</w:t>
      </w:r>
      <w:r>
        <w:t>. Age-stratified hazard ratios for Cohort B lesion recurrence across follow-up windows.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Stratum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/>
                <w:sz w:val="18"/>
              </w:rPr>
              <w:t>Follow-up window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n total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0.78 (0.35–1.76)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0.549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39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0.62 (0.28–1.38)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0.242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48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0.72 (0.37–1.39)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0.329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All ages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 / 241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57 / 867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0.57 (0.13–2.58)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0.468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0.43 (0.10–1.88)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0.262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0.48 (0.15–1.54)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0.215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&lt;40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686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154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 / 532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0.69 (0.27–1.77)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0.439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0.25 (0.03–1.92)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0.182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0.22 (0.03–1.69)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0.146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0.54 (0.18–1.66)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0.285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40–49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 / 261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0.45 (0.15–1.39)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0.165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4.11 (0.95–17.84)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0.059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2.60 (0.70–9.72)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0.154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2.60 (0.70–9.72)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0.154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≥50 years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Full follow-up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 / 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3.23 (0.93–11.22)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0.065</w:t>
            </w:r>
          </w:p>
        </w:tc>
      </w:tr>
    </w:tbl>
    <w:p>
      <w:r>
        <w:br w:type="page"/>
      </w:r>
    </w:p>
    <w:p>
      <w:r>
        <w:rPr>
          <w:b/>
        </w:rPr>
        <w:t>Supplementary Table S4</w:t>
      </w:r>
      <w:r>
        <w:t>. Number-at-risk tables for Cohort B Kaplan–Meier and Aalen–Johansen cumulative-incidence curves (years 0, 2, 4, 6, 8, 10).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241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209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149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89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Non-vaccinated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867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730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547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338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233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152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Non-vaccinated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182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117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14</w:t>
            </w:r>
          </w:p>
        </w:tc>
      </w:tr>
    </w:tbl>
    <w:p>
      <w:r>
        <w:br w:type="page"/>
      </w:r>
    </w:p>
    <w:p>
      <w:r>
        <w:rPr>
          <w:b/>
        </w:rPr>
        <w:t>Supplementary Table S5</w:t>
      </w:r>
      <w:r>
        <w:t>. Per-vaccine-type detailed results — single-model interaction-derived hazard ratios with the likelihood-ratio test for vaccine-type heterogeneity. Rows include both co-primary outcomes plus the legacy post-index hr-HPV detection sensitivity.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LRT χ²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df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LRT p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Gardasil 9 HR (95% CI)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Cervarix HR (95% CI)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b/>
                <w:sz w:val="18"/>
              </w:rPr>
              <w:t>Quadrivalent Gardasil HR (95% CI)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Lesion recurrence (≥CIN2)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0.725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0.63 (0.23–1.71)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1.07 (0.43–2.68)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0.73 (0.16–3.33)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hr-HPV clearance (pre-vaccine HPV+)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1.73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0.422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0.94 (0.44–2.02)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1.52 (0.79–2.89)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1.94 (0.78–4.84)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Post-index hr-HPV detection (sensitivity)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11.27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0.004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0.91 (0.71–1.18)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1.24 (0.91–1.69)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0.40 (0.21–0.76)</w:t>
            </w:r>
          </w:p>
        </w:tc>
      </w:tr>
    </w:tbl>
    <w:p>
      <w:r>
        <w:br w:type="page"/>
      </w:r>
    </w:p>
    <w:p>
      <w:r>
        <w:rPr>
          <w:b/>
        </w:rPr>
        <w:t>Supplementary Table S6</w:t>
      </w:r>
      <w:r>
        <w:t>. Cluster-robust hazard ratios with person-years, incidence rates per 1,000 person-years, and Schoenfeld residual p-values for both cohorts. Cohort B rows include both co-primary outcomes (lesion recurrence, hr-HPV clearance) and the legacy post-index hr-HPV detection sensitivity row.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864"/>
            <w:vAlign w:val="center"/>
          </w:tcPr>
          <w:p>
            <w:r/>
            <w:r>
              <w:rPr>
                <w:b/>
                <w:sz w:val="18"/>
              </w:rPr>
              <w:t>Cohort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Vac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IR Ctl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Schoenfeld p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29/2030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30/2038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2.40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1.26 (0.75–2.12)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0.374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0.341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MCE composite (MI/Stroke/PE)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2/2053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0.13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1.96 (0.31–12.46)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8/2044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7/2048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0.65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0.46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1.49 (0.53–4.19)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0.383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21/2039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22/2043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1.72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1.25 (0.68–2.28)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0.655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1/2053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0.24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Stroke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0/2053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1/2053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0.07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Lesion recurrence (≥CIN2 / HSIL+ or invasive carcinoma) — ≥2 dose + 3-mo landmark PRIMARY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 / 204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 / 730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8.8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1.01 (0.49–2.06)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0.985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hr-HPV clearance (two consecutive negatives; pre-vaccine HPV+ baseline) — ≥2 dose + 3-mo landmark PRIMARY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 / 92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 / 143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95.7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45.4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1.85 (1.09–3.17)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0.024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Sustained clearance duration — vaccinated (median, IQR years)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31 clearance events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3.20 (2.14–7.53)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Sustained clearance duration — non-vaccinated (median, IQR years)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 clearance events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2.59 (1.69–4.76)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Reversion (HR-HPV+ reappears) — vaccinated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13 / 31 (41.9%)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Reversion (HR-HPV+ reappears) — non-vaccinated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13 / 28 (46.4%)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≥1 dose, no landmark — lesion recurrence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13 / 241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 / 867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9.2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11.3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≥3 dose, no landmark — lesion recurrence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 / 167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 / 601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12.5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0.58 (0.27–1.26)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0.168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Cohort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Sensitivity (Sens-C): ≥1 dose, no landmark — hr-HPV clearance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 / 110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48 / 182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99.5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62.8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0.114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r>
        <w:rPr>
          <w:b/>
        </w:rPr>
        <w:t>Supplementary Table S7</w:t>
      </w:r>
      <w:r>
        <w:t>. Pseudo-index assignment sensitivity analysis for Cohort A (Any-of-five) — random sampling, calendar-year-matched, and risk-set sampling strategies.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Random sample (primary)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29 / 2030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30 / 2038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1.26 (0.75–2.12)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0.377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Time-matched (calendar year)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30 / 2054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 / 2064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1.27 (0.75–2.15)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0.378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Risk-set sampling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13 / 1096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13 / 1102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1.21 (0.55–2.66)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0.627</w:t>
            </w:r>
          </w:p>
        </w:tc>
      </w:tr>
    </w:tbl>
    <w:p>
      <w:r>
        <w:br w:type="page"/>
      </w:r>
    </w:p>
    <w:p>
      <w:r>
        <w:rPr>
          <w:b/>
        </w:rPr>
        <w:t>Supplementary Table S8A</w:t>
      </w:r>
      <w:r>
        <w:t>. (Sens-C, primary) Dose-threshold sensitivity for both cohorts — re-fitted hazard ratios under ≥1, ≥2, and ≥3 (complete schedule) dose definitions; matched-set integrity preserved by dropping the entire matched set when the vaccinated case fails the threshold.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20"/>
            <w:vAlign w:val="center"/>
          </w:tcPr>
          <w:p>
            <w:r/>
            <w:r>
              <w:rPr>
                <w:b/>
                <w:sz w:val="18"/>
              </w:rPr>
              <w:t>Cohort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Dose threshold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29/2030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30/2038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1.26 (0.75–2.12)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28/1715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26/1728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1.37 (0.80–2.36)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Any-of-5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27/1481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24/1494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1.38 (0.79–2.41)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0.253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2/2053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1.96 (0.31–12.46)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3/1735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2/1735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1.90 (0.30–11.94)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0.495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MCE composite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3/1498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1/1498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21/2039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22/2043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1.25 (0.68–2.28)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0.475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21/1723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20/1730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1.33 (0.72–2.47)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0.368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Diabetes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20/1489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19/1496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1.28 (0.68–2.42)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0.439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8/2044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7/2048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1.49 (0.53–4.19)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7/1727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5/1733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1.80 (0.56–5.74)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0.323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Hypertension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7/1490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5/1496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1.72 (0.54–5.48)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0.362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3/2053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1/2053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3/1735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1/1735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Angina/MI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3/1498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0/1498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13/241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57/867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11/217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52/783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0.74 (0.39–1.39)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0.349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8/193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45/697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0.61 (0.30–1.24)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≥1 dose (primary)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≥2 doses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37/102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44/168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1.40 (0.90–2.17)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0.132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≥3 doses (complete)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33/89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36/148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1.59 (0.97–2.60)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0.065</w:t>
            </w:r>
          </w:p>
        </w:tc>
      </w:tr>
    </w:tbl>
    <w:p>
      <w:r>
        <w:br w:type="page"/>
      </w:r>
    </w:p>
    <w:p>
      <w:r>
        <w:rPr>
          <w:b/>
        </w:rPr>
        <w:t>Supplementary Table S8B</w:t>
      </w:r>
      <w:r>
        <w:t>. (Sens-C, landmark) Immortal-time-bias-corrected dose-threshold sensitivity for Cohort B. Landmarks reflect the standard HPV-vaccine 0–2–6 month schedule plus grace: ≥1 dose at 30 days, ≥2 doses at 90 days, ≥3 doses at 240 days. Patients (both arms) must be alive and event-free at the landmark to enter the analysis; for vaccinated cases, the k-th dose must additionally have been received by the landmark. Time is left-truncated at the landmark.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Definition (landmark)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 dose, 30-d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10/238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48/858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0.72 (0.37–1.39)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0.331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doses, 90-d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10/205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30/723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1.12 (0.54–2.30)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0.765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≥3 doses, 240-d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6/182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18/639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1.14 (0.48–2.73)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0.769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≥1 dose, 30-d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39/109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45/179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1.45 (0.95–2.21)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≥2 doses, 90-d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32/91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28/141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1.93 (1.14–3.26)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≥3 doses, 240-d landmark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11/64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12/113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1.61 (0.73–3.56)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0.238</w:t>
            </w:r>
          </w:p>
        </w:tc>
      </w:tr>
    </w:tbl>
    <w:p>
      <w:r>
        <w:br w:type="page"/>
      </w:r>
    </w:p>
    <w:p>
      <w:r>
        <w:rPr>
          <w:b/>
        </w:rPr>
        <w:t>Supplementary Table S9</w:t>
      </w:r>
      <w:r>
        <w:t>. (Sens-D) Strict 1:4 fine-matching sensitivity for Cohort B — variable-ratio (primary) versus strict (sensitivity) specifications.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Design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variable-ratio (1:up-to-4, primary)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13/241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57/867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Lesion recurrence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strict 1:4 (sensitivity)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9/193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50/772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0.72 (0.36–1.41)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0.339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variable-ratio (1:up-to-4, primary)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hr-HPV clearance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strict 1:4 (sensitivity)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31/89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40/158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1.40 (0.88–2.21)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0.154</w:t>
            </w:r>
          </w:p>
        </w:tc>
      </w:tr>
    </w:tbl>
    <w:p>
      <w:r>
        <w:br w:type="page"/>
      </w:r>
    </w:p>
    <w:p>
      <w:r>
        <w:rPr>
          <w:b/>
        </w:rPr>
        <w:t>Supplementary Table S10</w:t>
      </w:r>
      <w:r>
        <w:t>. (Sens-B) Time-stratified hr-HPV clearance hazard ratios decomposed into 0–6, 6–12, 12–24, and ≥24-month windows post-index. Left-truncation at each window's lower bound.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Window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Overall (full follow-up)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0.114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0–6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12/110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26/182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0.73 (0.37–1.41)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0.349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6–12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19/97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10/155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3.19 (1.44–7.09)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0.004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12–24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4/78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9/139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0.77 (0.22–2.72)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0.684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24+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4/65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2/117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4.20 (0.73–24.14)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0.107</w:t>
            </w:r>
          </w:p>
        </w:tc>
      </w:tr>
    </w:tbl>
    <w:p>
      <w:r>
        <w:br w:type="page"/>
      </w:r>
    </w:p>
    <w:p>
      <w:r>
        <w:rPr>
          <w:b/>
        </w:rPr>
        <w:t>Supplementary Table S11</w:t>
      </w:r>
      <w:r>
        <w:t>. (Sens-A) Single-negative HPV clearance sensitivity — alternative event definition using the FIRST single post-index hr-HPV-negative record, contrasted with the two-consecutive-negative primary.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Clearance definition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Single negative test (sensitivity)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55/110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74/182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1.23 (0.89–1.72)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0.214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Two consecutive negatives (primary)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40/110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48/182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1.40 (0.92–2.11)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0.114</w:t>
            </w:r>
          </w:p>
        </w:tc>
      </w:tr>
    </w:tbl>
    <w:p>
      <w:r>
        <w:br w:type="page"/>
      </w:r>
    </w:p>
    <w:p>
      <w:r>
        <w:rPr>
          <w:b/>
        </w:rPr>
        <w:t>Supplementary Table S12</w:t>
      </w:r>
      <w:r>
        <w:t>. (Sens-E) Disease-free-interval sensitivity for lesion recurrence — minimum 3-, 6-, and 12-month buffer from the index date before counting a recurrence event.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Disease-free interval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Vac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Ctl events / 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HR (95% CI)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Primary (no minimum disease-free interval)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13/241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57/867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0.80 (0.44–1.43)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0.445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Minimum disease-free interval ≥3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10/237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39/846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0.88 (0.44–1.76)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0.724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Minimum disease-free interval ≥6 months (S19)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8/235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33/837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0.86 (0.41–1.78)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0.677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Minimum disease-free interval ≥12 months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6/228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26/805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0.82 (0.34–1.97)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0.657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