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35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3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Kaplan–Meier and Aalen–Johansen cumulative-incidence curves (years 0, 2, 4, 6, 8, 10).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730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547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338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233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152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/ regression (pre-vaccine HPV+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Post-index hr-HPV detection (sensitivity, full cohort)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149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546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182.7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202.8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Novel-type acquisition (post-index type not in pre-vaccine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46 / 206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107 / 583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1.21 (0.87–1.69)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HPV-16 clearance (pre-vaccine 16+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42 / 64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262.2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228.2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1.05 (0.74–1.49)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HPV-18 clearance (pre-vaccine 18+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25 / 45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57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204.0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239.8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0.84 (0.56–1.26)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(Sens-C, landmark) Immortal-time-bias-corrected dose-threshold sensitivity for Cohort B. Landmarks reflect the standard HPV-vaccine 0–2–6 month schedule plus grace: ≥1 dose at 30 days, ≥2 doses at 90 days, ≥3 doses at 240 days. Patients (both arms) must be alive and event-free at the landmark to enter the analysis; for vaccinated cases, the k-th dose must additionally have been received by the landmark. Time is left-truncated at the landmark.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(full follow-up)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12/110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0.73 (0.37–1.41)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10/155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3.19 (1.44–7.09)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4/78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0.77 (0.22–2.72)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0.684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24+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4/65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2/117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4.20 (0.73–24.14)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55/110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74/182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1.23 (0.89–1.72)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minimum disease-free interval)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≥3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39/846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0.88 (0.44–1.76)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≥6 months (S19)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8/235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33/837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0.86 (0.41–1.78)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6/228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26/805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0.82 (0.34–1.97)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0.657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