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1:1 propensity-score matching, and the primary exposure filter (≥2 doses + 3-month landmark with matched-pair integrity preserved) yielding a final analytic cohort n = 2,776 (1,396 vaccinated / 1,380 unvaccinated); and Cohort B (post-surgical efficacy analysis) through the cervical-surgery filter (n = 6,890), 1:up-to-5 initial matching, index-date eligibility, 1:up-to-4 fine matching, and the same primary exposure filter with matched-set integrity preserved, yielding a primary analytic cohort n = 912 (203 vaccinated / 709 fine-matched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primary cohort (n = 912: 203 vaccinated / 709 controls); (b) cumulative clearance of pre-existing hr-HPV (two-consecutive-negative event) in the clearance subset (n = 233: 92 vaccinated / 141 controls). The x-axis is years from index.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320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32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912 (203 vaccinated / 709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