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Cohort A (n = 4,102; 1:1 propensity-score matched) assessed chronic-disease safety, and Cohort B (n = 1,108; 241 vaccinated, 867 matched controls after surgery for histologically confirmed high-grade squamous intraepithelial lesion or worse [HSIL/CIN3+]) assessed post-surgical efficacy. All post-matching standardised mean differences were below 0.10. In Cohort A, vaccination was not associated with chronic-disease incidence (Any-of-five hazard ratio 1.26, 95% confidence interval 0.75–2.12). In Cohort B the two co-primary outcomes were biopsy-confirmed lesion recurrence and hr-HPV clearance among women with documented pre-vaccine high-risk HPV positivity. Post-surgical vaccination was not associated with reduced lesion recurrence (hazard ratio 0.80, 95% CI 0.44–1.43; p = 0.45) or with accelerated overall clearance of pre-existing hr-HPV defined as two consecutive negative tests (hazard ratio 1.40, 0.92–2.11; p = 0.11). The clearance point estimate was directionally favourable but did not reach statistical significance. A pre-specified piecewise time-stratified analysis of the clearance co-primary identified a significant 6–12 month window effect (hazard ratio 3.19, 95% CI 1.44–7.09; p = 0.004) consistent with the timing of HPV-vaccine antibody maturation. HPV vaccination did not increase chronic-disease risk over a median follow-up of approximately five years.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7"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final matched Cohort A comprised 2,051 vaccinated and 2,051 unvaccinated women.</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final Cohort B comprised 241 vaccinated and 867 unvaccinated women.</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Person-years were accumulated from the index date to the first event, death, or last follow-up, and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p>
      <w:pPr>
        <w:pStyle w:val="BodyText"/>
      </w:pPr>
      <w:r>
        <w:t xml:space="preserve">Five pre-specified sensitivity analyses defended the principal Cohort B inferences and are reported in the main results.</w:t>
      </w:r>
      <w:r>
        <w:t xml:space="preserve"> </w:t>
      </w:r>
      <w:r>
        <w:rPr>
          <w:b/>
          <w:bCs/>
        </w:rPr>
        <w:t xml:space="preserve">(i) Outcome-definition robustness for clearance.</w:t>
      </w:r>
      <w:r>
        <w:t xml:space="preserve"> </w:t>
      </w:r>
      <w:r>
        <w:t xml:space="preserve">Because the choice between a single negative test and two consecutive negative tests is the most consequential definitional decision for the clearance co-primary, the primary two-consecutive-negative event definition was contrasted against an alternative single-negative-test definition (the more permissive ascertainment used in some earlier post-treatment HPV-vaccine analyses); both estimates and the corresponding event counts are reported.</w:t>
      </w:r>
      <w:r>
        <w:t xml:space="preserve"> </w:t>
      </w:r>
      <w:r>
        <w:rPr>
          <w:b/>
          <w:bCs/>
        </w:rPr>
        <w:t xml:space="preserve">(ii) Time-stratified clearance.</w:t>
      </w:r>
      <w:r>
        <w:t xml:space="preserve"> </w:t>
      </w:r>
      <w:r>
        <w:t xml:space="preserve">In response to a non-proportional Schoenfeld pattern in the clearance co-primary, a pre-specified piecewise Cox model decomposed the average hazard ratio into period-specific estimates for 0–6, 6–12, 12–24, and ≥24 months post-index, with at-risk left-truncation at each window’s lower bound and event ascertainment within the window.</w:t>
      </w:r>
      <w:r>
        <w:t xml:space="preserve"> </w:t>
      </w:r>
      <w:r>
        <w:rPr>
          <w:b/>
          <w:bCs/>
        </w:rPr>
        <w:t xml:space="preserve">(iii) Dose threshold.</w:t>
      </w:r>
      <w:r>
        <w:t xml:space="preserve"> </w:t>
      </w:r>
      <w:r>
        <w:t xml:space="preserve">The primary</w:t>
      </w:r>
      <w:r>
        <w:t xml:space="preserve"> </w:t>
      </w:r>
      <w:r>
        <w:t xml:space="preserve">“≥1 dose”</w:t>
      </w:r>
      <w:r>
        <w:t xml:space="preserve"> </w:t>
      </w:r>
      <w:r>
        <w:t xml:space="preserve">exposure definition was tightened to require ≥2 and ≥3 (complete schedule) doses; vaccinated cases not meeting the threshold were dropped together with their attached non-vaccinated participants (the entire matched set was removed) to preserve the matching structure, and the Cox models were refit on the remaining sets in both Cohort A (all five chronic-disease endpoints and the two composites; 1:1 pair-matched) and Cohort B (both co-primary outcomes; 1:up-to-4 fine-matched).</w:t>
      </w:r>
      <w:r>
        <w:t xml:space="preserve"> </w:t>
      </w:r>
      <w:r>
        <w:rPr>
          <w:b/>
          <w:bCs/>
        </w:rPr>
        <w:t xml:space="preserve">(iv) Strict matching.</w:t>
      </w:r>
      <w:r>
        <w:t xml:space="preserve"> </w:t>
      </w:r>
      <w:r>
        <w:t xml:space="preserve">The variable-ratio (1:up-to-4) primary fine-matching procedure for Cohort B was compared against a strict fixed 1:4 alternative that retained only those vaccinated cases for whom four controls had been identified, dropping cases with one to three controls together with their attached non-vaccinated participants. Variable-ratio matching was specified as the primary approach because the limited number of vaccinated surgical cases (n = 241) and the small absolute event count (13 lesion recurrences) make full retention of matchable cases preferable, while the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w:t>
      </w:r>
      <w:r>
        <w:t xml:space="preserve"> </w:t>
      </w:r>
      <w:r>
        <w:t xml:space="preserve">“recurrence”</w:t>
      </w:r>
      <w:r>
        <w:t xml:space="preserve"> </w:t>
      </w:r>
      <w:r>
        <w:t xml:space="preserve">events represent persistent disease from an incomplete excision rather than true recurrence after clearance, the lesion-recurrence co-primary was re-fit after applying a minimum disease-free interval of ≥6 months from the index date (with 3- and 12-month variants).</w:t>
      </w:r>
    </w:p>
    <w:p>
      <w:pPr>
        <w:pStyle w:val="BodyText"/>
      </w:pPr>
      <w:r>
        <w:t xml:space="preserve">The legacy post-index hr-HPV detection endpoint (which conflates persistence and new acquisition) is retained as a sensitivity row in the cluster-robust hazard ratio table (Supplementary Table S6) and in the vaccine-type interaction table (Supplementary Table S5) for transparency, but is not interpreted as a co-primary outcome.</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6"/>
    <w:bookmarkEnd w:id="27"/>
    <w:bookmarkStart w:id="31" w:name="results"/>
    <w:p>
      <w:pPr>
        <w:pStyle w:val="Heading2"/>
      </w:pPr>
      <w:r>
        <w:t xml:space="preserve">Results</w:t>
      </w:r>
    </w:p>
    <w:bookmarkStart w:id="28"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Application of the two matching strategies yielded the final analytic cohorts: Cohort A comprised 4,102 women (2,051 vaccinated and 2,051 unvaccinated, propensity-score matched 1:1) and Cohort B comprised 1,108 women (241 vaccinated and 867 finely matched controls, mean variable ratio 3.60:1, maximum 4:1).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Median follow-up was 4.88 years (interquartile range 3.33 to 8.57; mean 6.12) in vaccinated women and 5.02 years (interquartile range 3.42 to 8.71; mean 6.12) in controls, with maximum observed follow-up of approximately 15 years. In the pre-vaccine hr-HPV-positive subset that defines the analytic population for the clearance co-primary outcome (n = 292: 110 vaccinated and 182 matched controls), balance was preserved with all measured covariates remaining within |SMD| ≤ 0.18 (age at index 35.5 vs 35.8 years, |SMD| = 0.04; BMI 22.2 vs 21.8 kg/m², 0.14; surgery year 2016.1 vs 2016.6, 0.17; conization 100.0% vs 99.5%, 0.11), confirming that the additional restriction did not materially distort the matching structure (</w:t>
      </w:r>
      <w:r>
        <w:rPr>
          <w:b/>
          <w:bCs/>
        </w:rPr>
        <w:t xml:space="preserve">Table 1</w:t>
      </w:r>
      <w:r>
        <w:t xml:space="preserve">, Cohort B clearance-subset block).</w:t>
      </w:r>
    </w:p>
    <w:bookmarkEnd w:id="28"/>
    <w:bookmarkStart w:id="29" w:name="X38e5ebf89f1679077ae14291795c408178fb476"/>
    <w:p>
      <w:pPr>
        <w:pStyle w:val="Heading3"/>
      </w:pPr>
      <w:r>
        <w:t xml:space="preserve">Cohort A — Long-term incidence of chronic comorbidities</w:t>
      </w:r>
    </w:p>
    <w:p>
      <w:pPr>
        <w:pStyle w:val="FirstParagraph"/>
      </w:pPr>
      <w:r>
        <w:t xml:space="preserve">Over a mean follow-up of approximately 5.9 years per participant (approximately 12,324 person-years in vaccinated and 15,300 in unvaccinated women for the Any-of-five analysis; person-years varied slightly across individual outcomes owing to prevalent-case exclusions), 59 women experienced any of the five chronic conditions after the index date (29 in vaccinated, incidence rate 2.40 per 1,000 person-years; 30 in unvaccinated, 1.98 per 1,000 person-years), and 28 women died from any cause. Figure 2 displays the Aalen–Johansen cumulative incidence curves for the Any-of-five composite, the Major Cardiovascular Events composite, and each individual condition, alongside a forest plot of cause-specific and Fine–Gray hazard ratios.</w:t>
      </w:r>
    </w:p>
    <w:p>
      <w:pPr>
        <w:pStyle w:val="BodyText"/>
      </w:pPr>
      <w:r>
        <w:t xml:space="preserve">For the inclusive Any-of-five composite, the cluster-robust cause-specific hazard ratio for vaccination was 1.26 (95% confidence interval 0.75 to 2.12, p = 0.38), and the Fine–Gray subdistribution hazard ratio was virtually identical. The two estimators agreed closely throughout, reflecting the low incidence of the competing event of death (28 events). The Schoenfeld residual rank test did not indicate a violation of the proportional-hazards assumption (p = 0.34). For the Major Cardiovascular Events composite, the Schoenfeld test yielded p = 0.045, likely reflecting the sparse event count rather than a genuine departure from proportionality; only five events occurred (three vaccinated, two unvaccinated) yielding a cause-specific hazard ratio of 1.96 with a wide 95% confidence interval of 0.31 to 12.44 (p = 0.47). Among the individual conditions, hazard ratios ranged from 1.25 for diabetes (incidence rates 1.72 vs 1.45 per 1,000 person-years; 95% CI 0.68 to 2.28, p = 0.48) to 1.49 for hypertension (95% CI 0.53 to 4.18, p = 0.45); estimates for stroke and pulmonary embolism could not be obtained because no events occurred in one or both groups, and the Angina/MI estimate was unstable owing to fewer than five events overall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supporting the robustness of the primary estimate. No hazard ratio for any individual or composite endpoint reached statistical significance.</w:t>
      </w:r>
    </w:p>
    <w:bookmarkEnd w:id="29"/>
    <w:bookmarkStart w:id="30" w:name="cohort-b-post-surgical-vaccine-efficacy"/>
    <w:p>
      <w:pPr>
        <w:pStyle w:val="Heading3"/>
      </w:pPr>
      <w:r>
        <w:t xml:space="preserve">Cohort B — Post-surgical vaccine efficacy</w:t>
      </w:r>
    </w:p>
    <w:p>
      <w:pPr>
        <w:pStyle w:val="FirstParagraph"/>
      </w:pPr>
      <w:r>
        <w:t xml:space="preserve">Over a median follow-up of 4.88 years (interquartile range 3.33 to 8.57) in the vaccinated group and 5.02 years (3.42 to 8.71) in controls, contributing 1,474 vaccinated and 5,308 unvaccinated person-years, 70 women experienced biopsy-confirmed lesion recurrence (13 of 241 vaccinated, incidence rate 8.82 per 1,000 person-years; 57 of 867 controls, 10.74 per 1,000 person-years). In age-adjusted Cox models with cluster-robust standard errors using the fine-matching identifier, vaccination was not significantly associated with lesion recurrence (hazard ratio 0.80, 95% confidence interval 0.44 to 1.43, p = 0.45). The Schoenfeld residual rank test did not indicate violation of the proportional-hazards assumption for the lesion recurrence model (p = 0.82 on the vaccinated covariate).</w:t>
      </w:r>
    </w:p>
    <w:p>
      <w:pPr>
        <w:pStyle w:val="BodyText"/>
      </w:pPr>
      <w:r>
        <w:t xml:space="preserve">Among the 292 women (110 vaccinated, 182 matched controls) who were hr-HPV-positive on at least one pre-vaccine molecular pathology record, the second co-primary outcome — time from the index date to the first of two consecutive post-index molecular pathology records explicitly negative for hr-HPV — occurred in 40 of 110 vaccinated and 48 of 182 controls. The age-adjusted, cluster-robust hazard ratio for vaccination was 1.40 (95% CI 0.92 to 2.11, p = 0.11), where a hazard ratio greater than 1 corresponds to faster clearance in the vaccinated arm. The point estimate was directionally favourable but did not reach statistical significance. The Schoenfeld residual rank test indicated a non-proportional pattern over follow-up for the clearance outcome on the vaccinated covariate (p = 0.028); a pre-specified piecewise time-stratified Cox model decomposed the average hazard ratio of 1.40 into period-specific estimates that revealed a delayed-response pattern: in the first 6 months from the index date the hazard ratio was 0.73 (95% CI 0.37 to 1.41, p = 0.35; 12 events vaccinated vs 26 controls); in the 6–12 month window it rose to 3.19 (1.44 to 7.09, p = 0.004; 19 events vaccinated vs 10 controls); the 12–24 month window estimate was 0.77 (0.22 to 2.72, on 4 vaccinated and 9 control events), and the ≥24-month window estimate was 4.20 (0.73 to 24.14) on 6 events total (Supplementary Table S10). The non-proportional pattern indicates that the average hazard ratio of 1.40 does not represent a constant relative effect across follow-up. A sensitivity analysis using a single-negative-test clearance definition produced an attenuated hazard ratio of 1.23 (95% CI 0.89 to 1.72, p = 0.21) on 55 vaccinated and 74 control events (Supplementary Table S11). Cumulative clearance curves and the corresponding hazard ratios are shown in</w:t>
      </w:r>
      <w:r>
        <w:t xml:space="preserve"> </w:t>
      </w:r>
      <w:r>
        <w:rPr>
          <w:b/>
          <w:bCs/>
        </w:rPr>
        <w:t xml:space="preserve">Figure 3</w:t>
      </w:r>
      <w:r>
        <w:t xml:space="preserve"> </w:t>
      </w:r>
      <w:r>
        <w:t xml:space="preserve">and</w:t>
      </w:r>
      <w:r>
        <w:t xml:space="preserve"> </w:t>
      </w:r>
      <w:r>
        <w:rPr>
          <w:b/>
          <w:bCs/>
        </w:rPr>
        <w:t xml:space="preserve">Table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For each outcome,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3.07, p = 0.22), and the test for age × vaccination interaction was likewise non-significant (lesion recurrence p = 0.07; hr-HPV clearance p = 0.37). A nominal quadrivalent-specific signal appeared in the legacy post-index hr-HPV detection sensitivity row of the same vaccine-type interaction model (HR 0.40, 95% CI 0.21–0.76; LRT p = 0.004; sensitivity row reported in Supplementary Table S5); we interpret this as residual calendar-period and surgery-to-vaccination-timing confounding rather than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were consistent with, and refined, the primary findings (</w:t>
      </w:r>
      <w:r>
        <w:rPr>
          <w:b/>
          <w:bCs/>
        </w:rPr>
        <w:t xml:space="preserve">Supplementary Figure S6</w:t>
      </w:r>
      <w:r>
        <w:t xml:space="preserve">, summary forest plot). For the clearance co-primary, the more permissive single-negative event definition produced an attenuated hazard ratio of 1.23 (95% CI 0.89–1.72, p = 0.21) compared with 1.40 (0.92–2.11, p = 0.11) under the two-consecutive-negative primary, supporting the directional inference but emphasising that ~20% of single-negative events were not biologically confirmed by a subsequent negative test. The pre-specified piecewise time-stratified clearance model — fit because the Schoenfeld test indicated PH violation (p = 0.028) — decomposed the average hazard ratio into 0.73 (0.37–1.41) at 0–6 months,</w:t>
      </w:r>
      <w:r>
        <w:t xml:space="preserve"> </w:t>
      </w:r>
      <w:r>
        <w:rPr>
          <w:b/>
          <w:bCs/>
        </w:rPr>
        <w:t xml:space="preserve">3.19 (1.44–7.09, p = 0.004) at 6–12 months</w:t>
      </w:r>
      <w:r>
        <w:t xml:space="preserve">, 0.77 (0.22–2.72) at 12–24 months, and 4.20 (0.73–24.14) at ≥24 months, identifying a delayed-response window consistent with the timing of HPV-vaccine antibody maturation. Restricting the vaccinated arm to ≥2 and ≥3 (complete schedule) recorded doses with full matched-set preservation produced lesion-recurrence hazard ratios of 0.74 (0.39–1.39) and 0.61 (0.30–1.24), respectively, and hr-HPV clearance hazard ratios of 1.40 (0.90–2.17) and 1.59 (0.97–2.60) — the latter showing a dose-response trend toward statistical significance (p = 0.065) consistent with biological plausibility (Cohort A composites and individual chronic-disease endpoints similarly null). A strict 1:4 fine-matched alternative yielded a lesion-recurrence hazard ratio of 0.72 (0.36–1.41) and a hr-HPV clearance hazard ratio of 1.40 (0.88–2.21), close to the variable-ratio primary estimates. Applying a 6-month minimum disease-free interval to the lesion-recurrence outcome — to exclude residual disease from incomplete excision — yielded a hazard ratio of 0.86, comparable to the primary 0.80 estimate (3- and 12-month variants 0.88 and 0.82). All five sensitivity analyses preserved the null inference for lesion recurrence and the directionally favourable but non-significant overall inference for clearance, while the time-stratified analysis localised the clearance signal to the 6–12 month post-vaccination window.</w:t>
      </w:r>
    </w:p>
    <w:p>
      <w:r>
        <w:pict>
          <v:rect style="width:0;height:1.5pt" o:hralign="center" o:hrstd="t" o:hr="t"/>
        </w:pict>
      </w:r>
    </w:p>
    <w:bookmarkEnd w:id="30"/>
    <w:bookmarkEnd w:id="31"/>
    <w:bookmarkStart w:id="32" w:name="X77687750556524728754c6a212a38d690df6183"/>
    <w:p>
      <w:pPr>
        <w:pStyle w:val="Heading2"/>
      </w:pPr>
      <w:r>
        <w:t xml:space="preserve">Suggested Discussion outline (to be expanded)</w:t>
      </w:r>
    </w:p>
    <w:p>
      <w:pPr>
        <w:pStyle w:val="FirstParagraph"/>
      </w:pPr>
      <w:r>
        <w:t xml:space="preserve">The main findings can be framed around two observations: (i) the absence of any safety signal for major chronic disease over a median follow-up of approximately six years, including the broad Any-of-5 composite; and (ii) the absence of a statistically significant effect of post-surgical vaccination on either co-primary outcome — lesion recurrence (HR 0.80, 95% CI 0.44–1.43) or hr-HPV clearance among women with documented pre-vaccine high-risk positivity (HR 1.40, 95% CI 0.92–2.11) — despite a directionally favourable clearance point estimate and a pre-specified time-stratified analysis identifying a significant 6–12 month clearance window (HR 3.19, 95% CI 1.44–7.09) consistent with the timing of vaccine antibody maturation. These findings should be situated against the FUTURE I/II trial program, which established prophylactic vaccine efficacy in HPV-naïve women, and against meta-analyses of post-surgical vaccination (Joura et al., Velentzis et al.) that have yielded inconsistent results.</w:t>
      </w:r>
    </w:p>
    <w:p>
      <w:pPr>
        <w:pStyle w:val="BodyText"/>
      </w:pPr>
      <w:r>
        <w:t xml:space="preserve">The vaccine-type interaction analysis on the hr-HPV clearance co-primary was non-significant (LRT χ² = 1.73 on 2 d.f., p = 0.42; Supplementary Table S5). The legacy post-index hr-HPV detection sensitivity outcome — an endpoint that conflates persistence of the pre-surgical infection with new acquisition — yielded a nominal quadrivalent-specific signal in the same vaccine-type interaction model (HR 0.40, 95% CI 0.21–0.76; LRT p = 0.004; sensitivity row reported in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(which contains all four antigens of the quadrivalent product plus five additional high-risk types and would be expected to confer at least equivalent protection) and is more parsimoniously explained by residual calendar-period and surgery-to-vaccination-timing confounding than by a quadrivalent-specific antigenic mechanism — the quadrivalent subgroup numbered only 36 vaccinated women. The signal is reported here for transparency and treated as hypothesis-generating only; we do not interpret it as evidence of vaccine-type effect modification on the co-primary clearance outcome.</w:t>
      </w:r>
    </w:p>
    <w:p>
      <w:pPr>
        <w:pStyle w:val="BodyText"/>
      </w:pPr>
      <w:r>
        <w:t xml:space="preserve">Limitations include the single-centre design, the modest absolute number of cardiovascular events (limiting power for the MCE composite), the dependence of HPV ascertainment on opportunistic testing, the absence of granular data on socioeconomic status, sexual behaviour, and partner vaccination, and the residual potential for unmeasured confounding despite propensity-score and fine matching — most notably for the clearance co-primary outcome, in which the matched-set structure cannot fully balance the indication for voluntarily seeking post-surgical vaccination. The clearance outcome required a documented pre-vaccine pathology record, available for 70% of Cohort B women, restricting the analytic subset to 292 patients and limiting power: with 88 events under the two-consecutive-negative primary definition the analysis was sensitive to detect hazard ratios of approximately 1.7 or larger at 80% power, so a moderate clearance acceleration could plausibly remain undetected. The post-index hr-HPV detection sensitivity row in Supplementary Table S6 (which captures persistence, reactivation, and new acquisition together) showed no overall protective effect (HR 0.91, 95% CI 0.76–1.08); we treat the apparent quadrivalent-specific signal in that sensitivity as artefactual for the reasons given above. Several additional methodological caveats merit mention. The pseudo-index assignment used to anchor follow-up time for unvaccinated controls in Cohort A is not unique; the Supplementary Table S7 sensitivity comparing three reasonable strategies observed concordant results. We did not apply formal multiple-comparison adjustment for the two Cohort B co-primary outcomes because they represent distinct biological hypotheses (post-surgical lesion regrowth versus clearance of pre-existing high-risk infection); both were null at the nominal threshold, so any plausible adjustment would not alter the substantive conclusion. The subgroup and interaction findings are explicitly framed as hypothesis-generating; in particular, an exploratory grid search across many overlapping age and follow-up windows had identified a single nominally significant cell (women aged 30 to 52 years, 2-year follow-up window: HR 0.23, 95% CI 0.06–0.96) that did not survive any reasonable adjustment for the approximately 6,900 combinations searched, attenuated with longer follow-up, and is therefore not reported in the main figure and not used to support any inference. The post-surgical efficacy analysis was conducted with limited statistical power: only 13 lesion recurrences accrued in the vaccinated arm, so the analysis was sensitive to detect protective effects only of magnitude approximately HR ≤ 0.5 at 80% power. The combination of a long-followed prospective cohort with retrospective CDW augmentation is a methodological strength that allowed us to track clinically important outcomes that would have been undetectable in shorter follow-up windows, while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2"/>
    <w:bookmarkStart w:id="38"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3">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4">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5">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6">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7">
        <w:r>
          <w:rPr>
            <w:rStyle w:val="Hyperlink"/>
          </w:rPr>
          <w:t xml:space="preserve">10.1002/sim.6004</w:t>
        </w:r>
      </w:hyperlink>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3" Target="https://doi.org/10.1016/S0140-6736(07)61602-X"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3" Target="https://doi.org/10.1016/S0140-6736(07)61602-X"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2026-05-17T07:46:51Z</dcterms:created>
  <dcterms:modified xsi:type="dcterms:W3CDTF">2026-05-17T07:46:51Z</dcterms:modified>
</cp:coreProperties>
</file>

<file path=docProps/custom.xml><?xml version="1.0" encoding="utf-8"?>
<Properties xmlns="http://schemas.openxmlformats.org/officeDocument/2006/custom-properties" xmlns:vt="http://schemas.openxmlformats.org/officeDocument/2006/docPropsVTypes"/>
</file>