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3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3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</w:t>
      </w:r>
      <w:r>
        <w:t>. Pre-matching baseline characteristics (same variable list as Table 1).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Block</w:t>
            </w:r>
          </w:p>
        </w:tc>
        <w:tc>
          <w:tcPr>
            <w:tcW w:type="dxa" w:w="273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Kaplan–Meier and Aalen–Johansen cumulative-incidence curves (years 0, 2, 4, 6, 8, 10).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730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547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338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233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152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/ regression (pre-vaccine HPV+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Post-index hr-HPV detection (sensitivity, full cohort)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149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546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182.7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202.8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Novel-type acquisition (post-index type not in pre-vaccine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46 / 206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107 / 583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1.21 (0.87–1.69)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HPV-16 clearance (pre-vaccine 16+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42 / 64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262.2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228.2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1.05 (0.74–1.49)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HPV-18 clearance (pre-vaccine 18+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25 / 45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57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204.0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239.8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0.84 (0.56–1.26)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</w:t>
      </w:r>
      <w:r>
        <w:t>. (Sens-C) Dose-threshold sensitivity for both cohorts — re-fitted hazard ratios under ≥1, ≥2, and ≥3 (complete schedule) dose definitions; matched-set integrity preserved.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(full follow-up)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12/110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0.73 (0.37–1.41)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10/155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3.19 (1.44–7.09)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4/78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0.77 (0.22–2.72)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0.684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24+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4/65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2/117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4.20 (0.73–24.14)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55/110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74/182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1.23 (0.89–1.72)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minimum disease-free interval)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≥3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39/846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0.88 (0.44–1.76)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≥6 months (S19)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8/235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33/837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0.86 (0.41–1.78)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6/228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26/805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0.82 (0.34–1.97)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0.657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