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480"/>
        <w:jc w:val="center"/>
      </w:pPr>
      <w:r>
        <w:rPr>
          <w:rFonts w:ascii="Arial" w:cs="Arial" w:eastAsia="Arial" w:hAnsi="Arial"/>
          <w:b/>
          <w:bCs/>
          <w:sz w:val="28"/>
          <w:szCs w:val="28"/>
        </w:rPr>
        <w:t xml:space="preserve">Long-term safety and post-surgical efficacy of HPV vaccination in women with cervical intraepithelial lesions: a prospective–retrospective cohort study using Korean clinical data warehouse</w:t>
      </w:r>
    </w:p>
    <w:p>
      <w:pPr>
        <w:spacing w:after="0" w:line="480"/>
      </w:pPr>
    </w:p>
    <w:p>
      <w:pPr>
        <w:spacing w:after="0" w:line="480"/>
      </w:pPr>
    </w:p>
    <w:p>
      <w:pPr>
        <w:spacing w:after="0" w:line="480"/>
      </w:pPr>
    </w:p>
    <w:p>
      <w:pPr>
        <w:spacing w:after="0" w:line="480"/>
      </w:pPr>
    </w:p>
    <w:p>
      <w:pPr>
        <w:spacing w:after="0" w:line="480"/>
        <w:ind/>
        <w:jc w:val="both"/>
      </w:pPr>
      <w:r>
        <w:rPr>
          <w:rFonts w:ascii="Arial" w:cs="Arial" w:eastAsia="Arial" w:hAnsi="Arial"/>
          <w:i/>
          <w:iCs/>
          <w:sz w:val="22"/>
          <w:szCs w:val="22"/>
        </w:rPr>
        <w:t xml:space="preserve">[Author names to be inserted]</w:t>
      </w:r>
    </w:p>
    <w:p>
      <w:pPr>
        <w:spacing w:after="0" w:line="480"/>
      </w:pPr>
    </w:p>
    <w:p>
      <w:pPr>
        <w:spacing w:after="0" w:line="480"/>
        <w:ind/>
        <w:jc w:val="both"/>
      </w:pPr>
      <w:r>
        <w:rPr>
          <w:rFonts w:ascii="Arial" w:cs="Arial" w:eastAsia="Arial" w:hAnsi="Arial"/>
          <w:i/>
          <w:iCs/>
          <w:sz w:val="22"/>
          <w:szCs w:val="22"/>
        </w:rPr>
        <w:t xml:space="preserve">[Affiliations to be inserted]</w:t>
      </w:r>
    </w:p>
    <w:p>
      <w:pPr>
        <w:spacing w:after="0" w:line="480"/>
      </w:pPr>
    </w:p>
    <w:p>
      <w:pPr>
        <w:spacing w:after="0" w:line="480"/>
      </w:pPr>
    </w:p>
    <w:p>
      <w:pPr>
        <w:spacing w:after="0" w:line="480"/>
        <w:ind/>
        <w:jc w:val="both"/>
      </w:pPr>
      <w:r>
        <w:rPr>
          <w:rFonts w:ascii="Arial" w:cs="Arial" w:eastAsia="Arial" w:hAnsi="Arial"/>
          <w:b/>
          <w:bCs/>
          <w:sz w:val="22"/>
          <w:szCs w:val="22"/>
        </w:rPr>
        <w:t xml:space="preserve">Corresponding author: </w:t>
      </w:r>
      <w:r>
        <w:rPr>
          <w:rFonts w:ascii="Arial" w:cs="Arial" w:eastAsia="Arial" w:hAnsi="Arial"/>
          <w:i/>
          <w:iCs/>
          <w:sz w:val="22"/>
          <w:szCs w:val="22"/>
        </w:rPr>
        <w:t xml:space="preserve">[Name, address, email to be inserted]</w:t>
      </w:r>
    </w:p>
    <w:p>
      <w:pPr>
        <w:spacing w:after="0" w:line="480"/>
      </w:pPr>
    </w:p>
    <w:p>
      <w:pPr>
        <w:spacing w:after="0" w:line="480"/>
        <w:ind/>
        <w:jc w:val="both"/>
      </w:pPr>
      <w:r>
        <w:rPr>
          <w:rFonts w:ascii="Arial" w:cs="Arial" w:eastAsia="Arial" w:hAnsi="Arial"/>
          <w:b/>
          <w:bCs/>
          <w:sz w:val="22"/>
          <w:szCs w:val="22"/>
        </w:rPr>
        <w:t xml:space="preserve">Word count: </w:t>
      </w:r>
      <w:r>
        <w:rPr>
          <w:rFonts w:ascii="Arial" w:cs="Arial" w:eastAsia="Arial" w:hAnsi="Arial"/>
          <w:i/>
          <w:iCs/>
          <w:sz w:val="22"/>
          <w:szCs w:val="22"/>
        </w:rPr>
        <w:t xml:space="preserve">[to be inserted]</w:t>
      </w:r>
    </w:p>
    <w:p>
      <w:pPr>
        <w:spacing w:after="0" w:line="480"/>
      </w:pPr>
    </w:p>
    <w:p>
      <w:pPr>
        <w:spacing w:after="0" w:line="480"/>
        <w:ind/>
        <w:jc w:val="both"/>
      </w:pPr>
      <w:r>
        <w:rPr>
          <w:rFonts w:ascii="Arial" w:cs="Arial" w:eastAsia="Arial" w:hAnsi="Arial"/>
          <w:b/>
          <w:bCs/>
          <w:sz w:val="22"/>
          <w:szCs w:val="22"/>
        </w:rPr>
        <w:t xml:space="preserve">Running title: </w:t>
      </w:r>
      <w:r>
        <w:rPr>
          <w:rFonts w:ascii="Arial" w:cs="Arial" w:eastAsia="Arial" w:hAnsi="Arial"/>
          <w:sz w:val="22"/>
          <w:szCs w:val="22"/>
        </w:rPr>
        <w:t xml:space="preserve">HPV vaccination safety and post-surgical efficacy</w:t>
      </w:r>
    </w:p>
    <w:p>
      <w:pPr>
        <w:sectPr>
          <w:pgSz w:w="11906" w:h="16838" w:orient="portrait"/>
          <w:pgMar w:top="1440" w:right="1440" w:bottom="1440" w:left="1440" w:header="708" w:footer="708" w:gutter="0"/>
          <w:pgNumType/>
          <w:docGrid w:linePitch="360"/>
        </w:sectPr>
      </w:pPr>
    </w:p>
    <w:p>
      <w:pPr>
        <w:pageBreakBefore/>
        <w:spacing w:after="200" w:line="360"/>
        <w:jc w:val="left"/>
      </w:pPr>
      <w:r>
        <w:rPr>
          <w:rFonts w:ascii="Arial" w:cs="Arial" w:eastAsia="Arial" w:hAnsi="Arial"/>
          <w:b/>
          <w:bCs/>
          <w:sz w:val="28"/>
          <w:szCs w:val="28"/>
        </w:rPr>
        <w:t xml:space="preserve">Abstract</w:t>
      </w:r>
    </w:p>
    <w:p>
      <w:pPr>
        <w:spacing w:after="0" w:line="480"/>
        <w:ind/>
        <w:jc w:val="both"/>
      </w:pPr>
      <w:r>
        <w:rPr>
          <w:rFonts w:ascii="Arial" w:cs="Arial" w:eastAsia="Arial" w:hAnsi="Arial"/>
          <w:sz w:val="22"/>
          <w:szCs w:val="22"/>
        </w:rP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(n = 1,108; 241 vaccinated, 867 matched controls after surgery for histologically confirmed high-grade squamous intraepithelial lesion or worse [HSIL/CIN3+]) assessed post-surgical efficacy. All post-matching standardised mean differences were below 0.10. In Cohort A, vaccination was not associated with chronic-disease incidence (Any-of-five hazard ratio 1.26, 95% confidence interval 0.75–2.12). In Cohort B the two co-primary outcomes were biopsy-confirmed lesion recurrence and hr-HPV clearance among women with documented pre-vaccine high-risk HPV positivity. Post-surgical vaccination was not associated with reduced lesion recurrence (hazard ratio 0.80, 95% CI 0.44–1.43; p = 0.45) or with accelerated clearance of pre-existing hr-HPV defined as two consecutive negative tests (hazard ratio 1.40, 0.92–2.11; p = 0.11). The clearance point estimate was directionally favourable but did not reach statistical significance, and type-specific clearance estimates for HPV 16 and HPV 18 were essentially null (1.05 and 0.84, both non-significant). A pre-specified piecewise time-stratified analysis of the clearance co-primary identified a significant 6–12 month window effect (hazard ratio 3.19, 95% CI 1.44–7.09; p = 0.004) consistent with the timing of HPV-vaccine antibody maturation. A vaccine-type interaction signal for any post-index hr-HPV detection in the full cohort (likelihood-ratio p = 0.037, driven by a quadrivalent-specific point estimate of 0.49 in 36 vaccinated women) did not persist when the analysis was restricted to the calendar window in which all three products co-existed (2016–2018, p = 0.105) and was further attenuated by landmark sensitivity, suggesting calendar-period and surgery-to-vaccination-timing confounding rather than a quadrivalent-specific mechanism. HPV vaccination did not increase chronic-disease risk over a median follow-up of approximately five years.</w:t>
      </w:r>
    </w:p>
    <w:p>
      <w:pPr>
        <w:spacing w:after="0" w:line="480"/>
      </w:pPr>
    </w:p>
    <w:p>
      <w:pPr>
        <w:spacing w:after="0" w:line="480"/>
        <w:ind/>
        <w:jc w:val="both"/>
      </w:pPr>
      <w:r>
        <w:rPr>
          <w:rFonts w:ascii="Arial" w:cs="Arial" w:eastAsia="Arial" w:hAnsi="Arial"/>
          <w:b/>
          <w:bCs/>
          <w:sz w:val="22"/>
          <w:szCs w:val="22"/>
        </w:rPr>
        <w:t xml:space="preserve">Keywords: </w:t>
      </w:r>
      <w:r>
        <w:rPr>
          <w:rFonts w:ascii="Arial" w:cs="Arial" w:eastAsia="Arial" w:hAnsi="Arial"/>
          <w:sz w:val="22"/>
          <w:szCs w:val="22"/>
        </w:rPr>
        <w:t xml:space="preserve">human papillomavirus vaccine, cervical intraepithelial neoplasia, conization, propensity score matching, competing risks, real-world evidence, cohort study</w:t>
      </w:r>
    </w:p>
    <w:p>
      <w:pPr>
        <w:pageBreakBefore/>
        <w:spacing w:after="200" w:line="360"/>
        <w:jc w:val="left"/>
      </w:pPr>
      <w:r>
        <w:rPr>
          <w:rFonts w:ascii="Arial" w:cs="Arial" w:eastAsia="Arial" w:hAnsi="Arial"/>
          <w:b/>
          <w:bCs/>
          <w:sz w:val="28"/>
          <w:szCs w:val="28"/>
        </w:rPr>
        <w:t xml:space="preserve">Methods</w:t>
      </w:r>
    </w:p>
    <w:p>
      <w:pPr>
        <w:spacing w:after="120" w:before="240" w:line="480"/>
      </w:pPr>
      <w:r>
        <w:rPr>
          <w:rFonts w:ascii="Arial" w:cs="Arial" w:eastAsia="Arial" w:hAnsi="Arial"/>
          <w:b/>
          <w:bCs/>
          <w:i w:val="false"/>
          <w:iCs w:val="false"/>
          <w:sz w:val="22"/>
          <w:szCs w:val="22"/>
        </w:rPr>
        <w:t xml:space="preserve">Study design and data source</w:t>
      </w:r>
    </w:p>
    <w:p>
      <w:pPr>
        <w:spacing w:after="0" w:line="480"/>
        <w:ind/>
        <w:jc w:val="both"/>
      </w:pPr>
      <w:r>
        <w:rPr>
          <w:rFonts w:ascii="Arial" w:cs="Arial" w:eastAsia="Arial" w:hAnsi="Arial"/>
          <w:sz w:val="22"/>
          <w:szCs w:val="22"/>
        </w:rP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rPr>
          <w:rFonts w:ascii="Arial" w:cs="Arial" w:eastAsia="Arial" w:hAnsi="Arial"/>
          <w:sz w:val="22"/>
          <w:szCs w:val="22"/>
          <w:vertAlign w:val="superscript"/>
        </w:rPr>
        <w:t xml:space="preserve">1</w:t>
      </w:r>
      <w:r>
        <w:rPr>
          <w:rFonts w:ascii="Arial" w:cs="Arial" w:eastAsia="Arial" w:hAnsi="Arial"/>
          <w:sz w:val="22"/>
          <w:szCs w:val="22"/>
        </w:rPr>
        <w:t xml:space="preserve"> The institutional review board approved the protocol with a waiver of informed consent for the retrospective component (IRB number to be inserted).</w:t>
      </w:r>
    </w:p>
    <w:p>
      <w:pPr>
        <w:spacing w:after="120" w:before="240" w:line="480"/>
      </w:pPr>
      <w:r>
        <w:rPr>
          <w:rFonts w:ascii="Arial" w:cs="Arial" w:eastAsia="Arial" w:hAnsi="Arial"/>
          <w:b/>
          <w:bCs/>
          <w:i w:val="false"/>
          <w:iCs w:val="false"/>
          <w:sz w:val="22"/>
          <w:szCs w:val="22"/>
        </w:rPr>
        <w:t xml:space="preserve">Source population</w:t>
      </w:r>
    </w:p>
    <w:p>
      <w:pPr>
        <w:spacing w:after="0" w:line="480"/>
        <w:ind/>
        <w:jc w:val="both"/>
      </w:pPr>
      <w:r>
        <w:rPr>
          <w:rFonts w:ascii="Arial" w:cs="Arial" w:eastAsia="Arial" w:hAnsi="Arial"/>
          <w:sz w:val="22"/>
          <w:szCs w:val="22"/>
        </w:rP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p>
      <w:pPr>
        <w:spacing w:after="120" w:before="240" w:line="480"/>
      </w:pPr>
      <w:r>
        <w:rPr>
          <w:rFonts w:ascii="Arial" w:cs="Arial" w:eastAsia="Arial" w:hAnsi="Arial"/>
          <w:b/>
          <w:bCs/>
          <w:i w:val="false"/>
          <w:iCs w:val="false"/>
          <w:sz w:val="22"/>
          <w:szCs w:val="22"/>
        </w:rPr>
        <w:t xml:space="preserve">Exposure ascertainment</w:t>
      </w:r>
    </w:p>
    <w:p>
      <w:pPr>
        <w:spacing w:after="0" w:line="480"/>
        <w:ind/>
        <w:jc w:val="both"/>
      </w:pPr>
      <w:r>
        <w:rPr>
          <w:rFonts w:ascii="Arial" w:cs="Arial" w:eastAsia="Arial" w:hAnsi="Arial"/>
          <w:sz w:val="22"/>
          <w:szCs w:val="22"/>
        </w:rPr>
        <w:t xml:space="preserve">HPV vaccination status was determined from the prescription file using two parallel definitions: a keyword search for the brand names "Gardasil", "Gardasil 9", and "Cervarix" (with the corresponding Korean transliterations 가다실 and 서바릭스), and an independent search on the institution-specific drug-code prefixes (`DV-JHP` for Cervarix, `DV-HPF` for the quadrivalent Gardasil, `DV-9HPF` for Gardasil 9), which together covered six distinct codes including variants for free-of-charge and employee/family vaccination. The two definitions identified an identical set of 2,156 women (concordance 100%; Supplementary Table on prescription-code validation),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p>
      <w:pPr>
        <w:spacing w:after="120" w:before="240" w:line="480"/>
      </w:pPr>
      <w:r>
        <w:rPr>
          <w:rFonts w:ascii="Arial" w:cs="Arial" w:eastAsia="Arial" w:hAnsi="Arial"/>
          <w:b/>
          <w:bCs/>
          <w:i w:val="false"/>
          <w:iCs w:val="false"/>
          <w:sz w:val="22"/>
          <w:szCs w:val="22"/>
        </w:rPr>
        <w:t xml:space="preserve">Two analytic cohorts</w:t>
      </w:r>
    </w:p>
    <w:p>
      <w:pPr>
        <w:spacing w:after="0" w:line="480"/>
        <w:ind/>
        <w:jc w:val="both"/>
      </w:pPr>
      <w:r>
        <w:rPr>
          <w:rFonts w:ascii="Arial" w:cs="Arial" w:eastAsia="Arial" w:hAnsi="Arial"/>
          <w:sz w:val="22"/>
          <w:szCs w:val="22"/>
        </w:rPr>
        <w:t xml:space="preserve">To address two complementary research questions, two analytic cohorts were derived from the same source population by applying distinct eligibility and matching procedures.</w:t>
      </w:r>
    </w:p>
    <w:p>
      <w:pPr>
        <w:spacing w:after="0" w:line="480"/>
        <w:ind w:firstLine="800"/>
        <w:jc w:val="both"/>
      </w:pPr>
      <w:r>
        <w:rPr>
          <w:rFonts w:ascii="Arial" w:cs="Arial" w:eastAsia="Arial" w:hAnsi="Arial"/>
          <w:b/>
          <w:bCs/>
          <w:sz w:val="22"/>
          <w:szCs w:val="22"/>
        </w:rPr>
        <w:t xml:space="preserve">Cohort A</w:t>
      </w:r>
      <w:r>
        <w:rPr>
          <w:rFonts w:ascii="Arial" w:cs="Arial" w:eastAsia="Arial" w:hAnsi="Arial"/>
          <w:sz w:val="22"/>
          <w:szCs w:val="22"/>
        </w:rPr>
        <w:t xml:space="preserve"> 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rPr>
          <w:rFonts w:ascii="Arial" w:cs="Arial" w:eastAsia="Arial" w:hAnsi="Arial"/>
          <w:sz w:val="22"/>
          <w:szCs w:val="22"/>
          <w:vertAlign w:val="superscript"/>
        </w:rPr>
        <w:t xml:space="preserve">2</w:t>
      </w:r>
      <w:r>
        <w:rPr>
          <w:rFonts w:ascii="Arial" w:cs="Arial" w:eastAsia="Arial" w:hAnsi="Arial"/>
          <w:sz w:val="22"/>
          <w:szCs w:val="22"/>
        </w:rPr>
        <w:t xml:space="preserve"> The final matched Cohort A comprised 2,051 vaccinated and 2,051 unvaccinated women.</w:t>
      </w:r>
    </w:p>
    <w:p>
      <w:pPr>
        <w:spacing w:after="0" w:line="480"/>
        <w:ind w:firstLine="800"/>
        <w:jc w:val="both"/>
      </w:pPr>
      <w:r>
        <w:rPr>
          <w:rFonts w:ascii="Arial" w:cs="Arial" w:eastAsia="Arial" w:hAnsi="Arial"/>
          <w:b/>
          <w:bCs/>
          <w:sz w:val="22"/>
          <w:szCs w:val="22"/>
        </w:rPr>
        <w:t xml:space="preserve">Cohort B</w:t>
      </w:r>
      <w:r>
        <w:rPr>
          <w:rFonts w:ascii="Arial" w:cs="Arial" w:eastAsia="Arial" w:hAnsi="Arial"/>
          <w:sz w:val="22"/>
          <w:szCs w:val="22"/>
        </w:rPr>
        <w:t xml:space="preserve"> 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p>
      <w:pPr>
        <w:spacing w:after="120" w:before="240" w:line="480"/>
      </w:pPr>
      <w:r>
        <w:rPr>
          <w:rFonts w:ascii="Arial" w:cs="Arial" w:eastAsia="Arial" w:hAnsi="Arial"/>
          <w:b/>
          <w:bCs/>
          <w:i w:val="false"/>
          <w:iCs w:val="false"/>
          <w:sz w:val="22"/>
          <w:szCs w:val="22"/>
        </w:rPr>
        <w:t xml:space="preserve">Outcome definitions</w:t>
      </w:r>
    </w:p>
    <w:p>
      <w:pPr>
        <w:spacing w:after="0" w:line="480"/>
        <w:ind/>
        <w:jc w:val="both"/>
      </w:pPr>
      <w:r>
        <w:rPr>
          <w:rFonts w:ascii="Arial" w:cs="Arial" w:eastAsia="Arial" w:hAnsi="Arial"/>
          <w:sz w:val="22"/>
          <w:szCs w:val="22"/>
        </w:rP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 "Any-of-five" 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spacing w:after="0" w:line="480"/>
        <w:ind w:firstLine="800"/>
        <w:jc w:val="both"/>
      </w:pPr>
      <w:r>
        <w:rPr>
          <w:rFonts w:ascii="Arial" w:cs="Arial" w:eastAsia="Arial" w:hAnsi="Arial"/>
          <w:sz w:val="22"/>
          <w:szCs w:val="22"/>
        </w:rP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 "HSIL" 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p>
      <w:pPr>
        <w:spacing w:after="120" w:before="240" w:line="480"/>
      </w:pPr>
      <w:r>
        <w:rPr>
          <w:rFonts w:ascii="Arial" w:cs="Arial" w:eastAsia="Arial" w:hAnsi="Arial"/>
          <w:b/>
          <w:bCs/>
          <w:i w:val="false"/>
          <w:iCs w:val="false"/>
          <w:sz w:val="22"/>
          <w:szCs w:val="22"/>
        </w:rPr>
        <w:t xml:space="preserve">Statistical analysis</w:t>
      </w:r>
    </w:p>
    <w:p>
      <w:pPr>
        <w:spacing w:after="0" w:line="480"/>
        <w:ind/>
        <w:jc w:val="both"/>
      </w:pPr>
      <w:r>
        <w:rPr>
          <w:rFonts w:ascii="Arial" w:cs="Arial" w:eastAsia="Arial" w:hAnsi="Arial"/>
          <w:sz w:val="22"/>
          <w:szCs w:val="22"/>
        </w:rP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spacing w:after="0" w:line="480"/>
        <w:ind w:firstLine="800"/>
        <w:jc w:val="both"/>
      </w:pPr>
      <w:r>
        <w:rPr>
          <w:rFonts w:ascii="Arial" w:cs="Arial" w:eastAsia="Arial" w:hAnsi="Arial"/>
          <w:sz w:val="22"/>
          <w:szCs w:val="22"/>
        </w:rP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rPr>
          <w:rFonts w:ascii="Arial" w:cs="Arial" w:eastAsia="Arial" w:hAnsi="Arial"/>
          <w:sz w:val="22"/>
          <w:szCs w:val="22"/>
          <w:vertAlign w:val="superscript"/>
        </w:rPr>
        <w:t xml:space="preserve">3</w:t>
      </w:r>
      <w:r>
        <w:rPr>
          <w:rFonts w:ascii="Arial" w:cs="Arial" w:eastAsia="Arial" w:hAnsi="Arial"/>
          <w:sz w:val="22"/>
          <w:szCs w:val="22"/>
        </w:rPr>
        <w:t xml:space="preserve"> 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S7 and Supplementary Figures S5–S6. Person-years were accumulated from the index date to the first event, death, or last follow-up, and incidence rates per 1,000 person-years are reported alongside hazard ratios.</w:t>
      </w:r>
    </w:p>
    <w:p>
      <w:pPr>
        <w:spacing w:after="0" w:line="480"/>
        <w:ind w:firstLine="800"/>
        <w:jc w:val="both"/>
      </w:pPr>
      <w:r>
        <w:rPr>
          <w:rFonts w:ascii="Arial" w:cs="Arial" w:eastAsia="Arial" w:hAnsi="Arial"/>
          <w:sz w:val="22"/>
          <w:szCs w:val="22"/>
        </w:rPr>
        <w:t xml:space="preserve">In line with the prevailing convention in observational epidemiology, no formal multiple-comparison adjustment (e.g., Bonferroni or false-discovery-rate procedure) was applied to the two Cohort B primary outcomes. Lesion recurrence and high-risk HPV reinfection address distinct biological questions—reactivation or persistence of pre-existing transformed clones versus de novo viral acquisition—and were therefore treated as separate, pre-specified hypotheses rather than members of a single confirmatory family, consistent with the long-standing argument that family-wise error rate control is rarely informative for hypothesis-driven epidemiology</w:t>
      </w:r>
      <w:r>
        <w:rPr>
          <w:rFonts w:ascii="Arial" w:cs="Arial" w:eastAsia="Arial" w:hAnsi="Arial"/>
          <w:sz w:val="22"/>
          <w:szCs w:val="22"/>
          <w:vertAlign w:val="superscript"/>
        </w:rPr>
        <w:t xml:space="preserve">4</w:t>
      </w:r>
      <w:r>
        <w:rPr>
          <w:rFonts w:ascii="Arial" w:cs="Arial" w:eastAsia="Arial" w:hAnsi="Arial"/>
          <w:sz w:val="22"/>
          <w:szCs w:val="22"/>
        </w:rPr>
        <w:t xml:space="preserve"> 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spacing w:after="0" w:line="480"/>
        <w:ind w:firstLine="800"/>
        <w:jc w:val="both"/>
      </w:pPr>
      <w:r>
        <w:rPr>
          <w:rFonts w:ascii="Arial" w:cs="Arial" w:eastAsia="Arial" w:hAnsi="Arial"/>
          <w:sz w:val="22"/>
          <w:szCs w:val="22"/>
        </w:rP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 "as-treated" is avoided because the analysis is, by design, anchored to the date of first vaccine receipt; results from a true intention-to-treat formulation are not pertinent in this single-arm exposure-ascertained setting.</w:t>
      </w:r>
    </w:p>
    <w:p>
      <w:pPr>
        <w:spacing w:after="0" w:line="480"/>
        <w:ind w:firstLine="800"/>
        <w:jc w:val="both"/>
      </w:pPr>
      <w:r>
        <w:rPr>
          <w:rFonts w:ascii="Arial" w:cs="Arial" w:eastAsia="Arial" w:hAnsi="Arial"/>
          <w:sz w:val="22"/>
          <w:szCs w:val="22"/>
        </w:rPr>
        <w:t xml:space="preserve">Four additional sensitivity analyses addressed the exposure, matching, and outcome definitions. First, the primary "≥1 dose" exposure definition was tightened to require ≥2 and ≥3 (complete schedule) doses; in each tightening, vaccinated cases not meeting the threshold were dropped together with their attached non-vaccinated participants (i.e., the entire matched set was removed) to preserve the matching structure, and the Cox models were refit on the remaining matched sets. This analysis was conducted separately in Cohort A (all five chronic-disease endpoints and the two composites; 1:1 pair-matched) and in Cohort B (both primary outcomes; 1:up-to-4 fine-matched). Second, 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(n = 241) and the small absolute event count (13 lesion recurrences) make full retention of matchable cases preferable, while the cluster-robust standard errors using the matching identifier appropriately accommodate the unequal cluster sizes.</w:t>
      </w:r>
      <w:r>
        <w:rPr>
          <w:rFonts w:ascii="Arial" w:cs="Arial" w:eastAsia="Arial" w:hAnsi="Arial"/>
          <w:sz w:val="22"/>
          <w:szCs w:val="22"/>
          <w:vertAlign w:val="superscript"/>
        </w:rPr>
        <w:t xml:space="preserve">5,6</w:t>
      </w:r>
      <w:r>
        <w:rPr>
          <w:rFonts w:ascii="Arial" w:cs="Arial" w:eastAsia="Arial" w:hAnsi="Arial"/>
          <w:sz w:val="22"/>
          <w:szCs w:val="22"/>
        </w:rPr>
        <w:t xml:space="preserve"> Third, the prescription-code validation described above served as a sensitivity check for the exposure definition. Fourth, to characterize the post-index hr-HPV experience without restricting to women with documented pre-vaccine positivity, a supportive analysis treated any post-index detection of an hr-HPV type (regardless of whether that type appeared in the pre-vaccine baseline) as the event, with the same matched-set Cox model. Because every Cohort B woman had been HPV-positive at qualifying surgery, this outcome necessarily aggregates persistence, reactivation, and new acquisition; it is therefore reported as a sensitivity rather than as a co-primary endpoint. To partition the early-detection signal we additionally re-estimated the post-index detection hazard ratio under landmark restriction at 6, 12, and 24 months post-index. Fifth, a novel-type acquisition analysis used each patient's pre-vaccine baseline type set and counted the first post-index pathology record containing at least one type not present in the baseline as the event; patients without any pre-vaccine molecular pathology record were excluded, and matched-set integrity was preserved by also dropping non-vaccinated controls whose matched vaccinated case lacked a pre-vaccine test. Sixth, type-specific clearance variants for HPV 16 (among women with pre-vaccine HPV-16 positivity) and HPV 18 (analogous) were fit alongside the any-clearance co-primary. Seventh, in response to a non-proportional Schoenfeld pattern in the clearance co-primary, a pre-specified piecewise time-stratified Cox model decomposed the average hazard ratio into period-specific estimates for 0–6, 6–12, 12–24, and ≥24 months post-index, with at-risk left-truncation at each window's lower bound and event ascertainment within the window. Eighth, an alternative single-negative-test definition of hr-HPV clearance was reported as a sensitivity comparison to the two-consecutive-negative primary; the single-negative definition is the more permissive event ascertainment (every patient with at least one post-index hr-HPV-negative record qualifies as having cleared) and was the conventional definition used in some earlier post-treatment HPV-vaccine analyses. Ninth, to address the possibility that early post-index "recurrence" events represent persistent disease from an incomplete excision rather than true recurrence after clearance, the lesion-recurrence outcome was re-fit after applying minimum disease-free intervals of 3, 6, and 12 months from the index date. Results of all four sensitivity analyses are reported in the supplementary material (Supplementary Tables on dose threshold, strict matching, prescription-code validation, and HPV outcome landmark).</w:t>
      </w:r>
    </w:p>
    <w:p>
      <w:pPr>
        <w:spacing w:after="0" w:line="480"/>
        <w:ind w:firstLine="800"/>
        <w:jc w:val="both"/>
      </w:pPr>
      <w:r>
        <w:rPr>
          <w:rFonts w:ascii="Arial" w:cs="Arial" w:eastAsia="Arial" w:hAnsi="Arial"/>
          <w:sz w:val="22"/>
          <w:szCs w:val="22"/>
        </w:rPr>
        <w:t xml:space="preserve">All analyses were conducted in Python 3.14.3 using lifelines 0.30.3, scikit-learn 1.8.0, scipy 1.17.1, pandas 2.3.3, and numpy 2.4.2; random seeds were set to 42 for reproducibility. The analysis code is available in the project repository.</w:t>
      </w:r>
    </w:p>
    <w:p>
      <w:pPr>
        <w:pageBreakBefore/>
        <w:spacing w:after="200" w:line="360"/>
        <w:jc w:val="left"/>
      </w:pPr>
      <w:r>
        <w:rPr>
          <w:rFonts w:ascii="Arial" w:cs="Arial" w:eastAsia="Arial" w:hAnsi="Arial"/>
          <w:b/>
          <w:bCs/>
          <w:sz w:val="28"/>
          <w:szCs w:val="28"/>
        </w:rPr>
        <w:t xml:space="preserve">Results</w:t>
      </w:r>
    </w:p>
    <w:p>
      <w:pPr>
        <w:spacing w:after="120" w:before="240" w:line="480"/>
      </w:pPr>
      <w:r>
        <w:rPr>
          <w:rFonts w:ascii="Arial" w:cs="Arial" w:eastAsia="Arial" w:hAnsi="Arial"/>
          <w:b/>
          <w:bCs/>
          <w:i w:val="false"/>
          <w:iCs w:val="false"/>
          <w:sz w:val="22"/>
          <w:szCs w:val="22"/>
        </w:rPr>
        <w:t xml:space="preserve">Cohort selection and baseline characteristics</w:t>
      </w:r>
    </w:p>
    <w:p>
      <w:pPr>
        <w:spacing w:after="0" w:line="480"/>
        <w:ind/>
        <w:jc w:val="both"/>
      </w:pPr>
      <w:r>
        <w:rPr>
          <w:rFonts w:ascii="Arial" w:cs="Arial" w:eastAsia="Arial" w:hAnsi="Arial"/>
          <w:sz w:val="22"/>
          <w:szCs w:val="22"/>
        </w:rPr>
        <w:t xml:space="preserve">A total of 32,969 women contributed to the source population, of whom 2,156 (6.5%) had received at least one HPV vaccination during follow-up. Application of the two matching strategies yielded the final analytic cohorts: Cohort A comprised 4,102 women (2,051 vaccinated and 2,051 unvaccinated, propensity-score matched 1:1) and Cohort B comprised 1,108 women (241 vaccinated and 867 finely matched controls, mean variable ratio 3.60:1, maximum 4:1). The full selection process is shown in </w:t>
      </w:r>
      <w:r>
        <w:rPr>
          <w:rFonts w:ascii="Arial" w:cs="Arial" w:eastAsia="Arial" w:hAnsi="Arial"/>
          <w:b/>
          <w:bCs/>
          <w:sz w:val="22"/>
          <w:szCs w:val="22"/>
        </w:rPr>
        <w:t xml:space="preserve">Figure 1</w:t>
      </w:r>
      <w:r>
        <w:rPr>
          <w:rFonts w:ascii="Arial" w:cs="Arial" w:eastAsia="Arial" w:hAnsi="Arial"/>
          <w:sz w:val="22"/>
          <w:szCs w:val="22"/>
        </w:rPr>
        <w:t xml:space="preserve">.</w:t>
      </w:r>
    </w:p>
    <w:p>
      <w:pPr>
        <w:spacing w:after="0" w:line="480"/>
        <w:ind w:firstLine="800"/>
        <w:jc w:val="both"/>
      </w:pPr>
      <w:r>
        <w:rPr>
          <w:rFonts w:ascii="Arial" w:cs="Arial" w:eastAsia="Arial" w:hAnsi="Arial"/>
          <w:sz w:val="22"/>
          <w:szCs w:val="22"/>
        </w:rP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rFonts w:ascii="Arial" w:cs="Arial" w:eastAsia="Arial" w:hAnsi="Arial"/>
          <w:b/>
          <w:bCs/>
          <w:sz w:val="22"/>
          <w:szCs w:val="22"/>
        </w:rPr>
        <w:t xml:space="preserve">Table 1</w:t>
      </w:r>
      <w:r>
        <w:rPr>
          <w:rFonts w:ascii="Arial" w:cs="Arial" w:eastAsia="Arial" w:hAnsi="Arial"/>
          <w:sz w:val="22"/>
          <w:szCs w:val="22"/>
        </w:rP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spacing w:after="0" w:line="480"/>
        <w:ind w:firstLine="800"/>
        <w:jc w:val="both"/>
      </w:pPr>
      <w:r>
        <w:rPr>
          <w:rFonts w:ascii="Arial" w:cs="Arial" w:eastAsia="Arial" w:hAnsi="Arial"/>
          <w:sz w:val="22"/>
          <w:szCs w:val="22"/>
        </w:rP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Median follow-up was 4.88 years (interquartile range 3.33 to 8.57; mean 6.12) in vaccinated women and 5.02 years (interquartile range 3.42 to 8.71; mean 6.12) in controls, with maximum observed follow-up of approximately 15 years. In the pre-vaccine hr-HPV-positive subset that defines the analytic population for the clearance co-primary outcome (n = 292: 110 vaccinated and 182 matched controls), balance was preserved with all measured covariates remaining within |SMD| ≤ 0.18 (age at index 35.5 vs 35.8 years, |SMD| = 0.04; BMI 22.2 vs 21.8 kg/m², 0.14; surgery year 2016.1 vs 2016.6, 0.17; conization 100.0% vs 99.5%, 0.11), confirming that the additional restriction did not materially distort the matching structure (</w:t>
      </w:r>
      <w:r>
        <w:rPr>
          <w:rFonts w:ascii="Arial" w:cs="Arial" w:eastAsia="Arial" w:hAnsi="Arial"/>
          <w:b/>
          <w:bCs/>
          <w:sz w:val="22"/>
          <w:szCs w:val="22"/>
        </w:rPr>
        <w:t xml:space="preserve">Table 1</w:t>
      </w:r>
      <w:r>
        <w:rPr>
          <w:rFonts w:ascii="Arial" w:cs="Arial" w:eastAsia="Arial" w:hAnsi="Arial"/>
          <w:sz w:val="22"/>
          <w:szCs w:val="22"/>
        </w:rPr>
        <w:t xml:space="preserve">, Cohort B clearance-subset block).</w:t>
      </w:r>
    </w:p>
    <w:p>
      <w:pPr>
        <w:spacing w:after="120" w:before="240" w:line="480"/>
      </w:pPr>
      <w:r>
        <w:rPr>
          <w:rFonts w:ascii="Arial" w:cs="Arial" w:eastAsia="Arial" w:hAnsi="Arial"/>
          <w:b/>
          <w:bCs/>
          <w:i w:val="false"/>
          <w:iCs w:val="false"/>
          <w:sz w:val="22"/>
          <w:szCs w:val="22"/>
        </w:rPr>
        <w:t xml:space="preserve">Cohort A — Long-term incidence of chronic comorbidities</w:t>
      </w:r>
    </w:p>
    <w:p>
      <w:pPr>
        <w:spacing w:after="0" w:line="480"/>
        <w:ind/>
        <w:jc w:val="both"/>
      </w:pPr>
      <w:r>
        <w:rPr>
          <w:rFonts w:ascii="Arial" w:cs="Arial" w:eastAsia="Arial" w:hAnsi="Arial"/>
          <w:sz w:val="22"/>
          <w:szCs w:val="22"/>
        </w:rPr>
        <w:t xml:space="preserve">Over a mean follow-up of approximately 5.9 years per participant (approximately 12,324 person-years in vaccinated and 15,300 in unvaccinated women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spacing w:after="0" w:line="480"/>
        <w:ind w:firstLine="800"/>
        <w:jc w:val="both"/>
      </w:pPr>
      <w:r>
        <w:rPr>
          <w:rFonts w:ascii="Arial" w:cs="Arial" w:eastAsia="Arial" w:hAnsi="Arial"/>
          <w:sz w:val="22"/>
          <w:szCs w:val="22"/>
        </w:rP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rFonts w:ascii="Arial" w:cs="Arial" w:eastAsia="Arial" w:hAnsi="Arial"/>
          <w:b/>
          <w:bCs/>
          <w:sz w:val="22"/>
          <w:szCs w:val="22"/>
        </w:rPr>
        <w:t xml:space="preserve">Table 2</w:t>
      </w:r>
      <w:r>
        <w:rPr>
          <w:rFonts w:ascii="Arial" w:cs="Arial" w:eastAsia="Arial" w:hAnsi="Arial"/>
          <w:sz w:val="22"/>
          <w:szCs w:val="22"/>
        </w:rPr>
        <w:t xml:space="preserve">). The pseudo-index sensitivity analysis showed concordant Any-of-five hazard ratios across the random-sampling, calendar-year-matched, and risk-set sampling strategies (1.26, 1.27, and 1.21, respectively; Supplementary Table S8), supporting the robustness of the primary estimate. No hazard ratio for any individual or composite endpoint reached statistical significance.</w:t>
      </w:r>
    </w:p>
    <w:p>
      <w:pPr>
        <w:spacing w:after="120" w:before="240" w:line="480"/>
      </w:pPr>
      <w:r>
        <w:rPr>
          <w:rFonts w:ascii="Arial" w:cs="Arial" w:eastAsia="Arial" w:hAnsi="Arial"/>
          <w:b/>
          <w:bCs/>
          <w:i w:val="false"/>
          <w:iCs w:val="false"/>
          <w:sz w:val="22"/>
          <w:szCs w:val="22"/>
        </w:rPr>
        <w:t xml:space="preserve">Cohort B — Post-surgical vaccine efficacy</w:t>
      </w:r>
    </w:p>
    <w:p>
      <w:pPr>
        <w:spacing w:after="0" w:line="480"/>
        <w:ind/>
        <w:jc w:val="both"/>
      </w:pPr>
      <w:r>
        <w:rPr>
          <w:rFonts w:ascii="Arial" w:cs="Arial" w:eastAsia="Arial" w:hAnsi="Arial"/>
          <w:sz w:val="22"/>
          <w:szCs w:val="22"/>
        </w:rPr>
        <w:t xml:space="preserve">Over a median follow-up of 4.88 years (interquartile range 3.33 to 8.57) in the vaccinated group and 5.02 years (3.42 to 8.71) in controls, contributing 1,474 vaccinated and 5,308 unvaccinated person-years, 70 women experienced biopsy-confirmed lesion recurrence (13 of 241 vaccinated, incidence rate 8.82 per 1,000 person-years; 57 of 867 controls, 10.74 per 1,000 person-years). In age-adjusted Cox models with cluster-robust standard errors using the fine-matching identifier, vaccination was not significantly associated with lesion recurrence (hazard ratio 0.80, 95% confidence interval 0.44 to 1.43, p = 0.45). The Schoenfeld residual rank test did not indicate violation of the proportional-hazards assumption for the lesion recurrence model (p = 0.82 on the vaccinated covariate).</w:t>
      </w:r>
    </w:p>
    <w:p>
      <w:pPr>
        <w:spacing w:after="0" w:line="480"/>
        <w:ind w:firstLine="800"/>
        <w:jc w:val="both"/>
      </w:pPr>
      <w:r>
        <w:rPr>
          <w:rFonts w:ascii="Arial" w:cs="Arial" w:eastAsia="Arial" w:hAnsi="Arial"/>
          <w:sz w:val="22"/>
          <w:szCs w:val="22"/>
        </w:rPr>
        <w:t xml:space="preserve">Among the 292 women (110 vaccinated, 182 matched controls) who were hr-HPV-positive on at least one pre-vaccine molecular pathology record, the second co-primary outcome — time from the index date to the first of two consecutive post-index molecular pathology records explicitly negative for hr-HPV — occurred in 40 of 110 vaccinated and 48 of 182 controls. The age-adjusted, cluster-robust hazard ratio for vaccination was 1.40 (95% CI 0.92 to 2.11, p = 0.11), where a hazard ratio greater than 1 corresponds to faster clearance in the vaccinated arm. The point estimate was directionally favourable but did not reach statistical significance. Type-specific clearance estimates were essentially null (HPV 16: 1.05, 0.74 to 1.49, p = 0.79; HPV 18: 0.84, 0.56 to 1.26, p = 0.40). The Schoenfeld residual rank test indicated a non-proportional pattern over follow-up for the clearance outcome on the vaccinated covariate (p = 0.028); a pre-specified piecewise time-stratified Cox model decomposed the average hazard ratio of 1.40 into period-specific estimates that revealed a delayed-response pattern: in the first 6 months from the index date the hazard ratio was 0.73 (95% CI 0.37 to 1.41, p = 0.35; 12 events vaccinated vs 26 controls); in the 6–12 month window it rose to 3.19 (1.44 to 7.09, p = 0.004; 19 events vaccinated vs 10 controls); the 12–24 month window estimate was 0.77 (0.22 to 2.72, on 4 vaccinated and 9 control events), and the ≥24-month window estimate was 4.20 (0.73 to 24.14) on 6 events total (Supplementary Table on time-stratified clearance). The non-proportional pattern indicates that the average hazard ratio of 1.40 does not represent a constant relative effect across follow-up. A sensitivity analysis using a single-negative-test clearance definition produced an attenuated hazard ratio of 1.23 (95% CI 0.89 to 1.72, p = 0.21) on 55 vaccinated and 74 control events (Supplementary Table on single-negative clearance sensitivity). Cumulative clearance curves and the corresponding hazard ratios are shown in </w:t>
      </w:r>
      <w:r>
        <w:rPr>
          <w:rFonts w:ascii="Arial" w:cs="Arial" w:eastAsia="Arial" w:hAnsi="Arial"/>
          <w:b/>
          <w:bCs/>
          <w:sz w:val="22"/>
          <w:szCs w:val="22"/>
        </w:rPr>
        <w:t xml:space="preserve">Figure 3</w:t>
      </w:r>
      <w:r>
        <w:rPr>
          <w:rFonts w:ascii="Arial" w:cs="Arial" w:eastAsia="Arial" w:hAnsi="Arial"/>
          <w:sz w:val="22"/>
          <w:szCs w:val="22"/>
        </w:rPr>
        <w:t xml:space="preserve"> and </w:t>
      </w:r>
      <w:r>
        <w:rPr>
          <w:rFonts w:ascii="Arial" w:cs="Arial" w:eastAsia="Arial" w:hAnsi="Arial"/>
          <w:b/>
          <w:bCs/>
          <w:sz w:val="22"/>
          <w:szCs w:val="22"/>
        </w:rPr>
        <w:t xml:space="preserve">Table 3</w:t>
      </w:r>
      <w:r>
        <w:rPr>
          <w:rFonts w:ascii="Arial" w:cs="Arial" w:eastAsia="Arial" w:hAnsi="Arial"/>
          <w:sz w:val="22"/>
          <w:szCs w:val="22"/>
        </w:rPr>
        <w:t xml:space="preserve">.</w:t>
      </w:r>
    </w:p>
    <w:p>
      <w:pPr>
        <w:spacing w:after="0" w:line="480"/>
        <w:ind w:firstLine="800"/>
        <w:jc w:val="both"/>
      </w:pPr>
      <w:r>
        <w:rPr>
          <w:rFonts w:ascii="Arial" w:cs="Arial" w:eastAsia="Arial" w:hAnsi="Arial"/>
          <w:sz w:val="22"/>
          <w:szCs w:val="22"/>
        </w:rPr>
        <w:t xml:space="preserve">Pre-specified subgroup analyses by age at index (&lt;40, 40–49, ≥50 years) and by vaccine type (Gardasil 9, Cervarix, quadrivalent Gardasil) are presented as a single combined forest plot for both co-primary outcomes (</w:t>
      </w:r>
      <w:r>
        <w:rPr>
          <w:rFonts w:ascii="Arial" w:cs="Arial" w:eastAsia="Arial" w:hAnsi="Arial"/>
          <w:b/>
          <w:bCs/>
          <w:sz w:val="22"/>
          <w:szCs w:val="22"/>
        </w:rPr>
        <w:t xml:space="preserve">Figure 4</w:t>
      </w:r>
      <w:r>
        <w:rPr>
          <w:rFonts w:ascii="Arial" w:cs="Arial" w:eastAsia="Arial" w:hAnsi="Arial"/>
          <w:sz w:val="22"/>
          <w:szCs w:val="22"/>
        </w:rPr>
        <w:t xml:space="preserve">). For each outcome, heterogeneity by vaccine type was tested in a single age-adjusted Cox model that included vaccination, vaccine-type indicators (Gardasil 9 as reference), and vaccine-type × vaccination interaction terms with cluster-robust standard errors on the fine-matching identifier; this avoids the dependence that would arise from re-using non-vaccinated controls across pairwise vaccine-specific subgroups. The likelihood-ratio test for vaccine-type heterogeneity was non-significant for both co-primary outcomes (lesion recurrence χ² = 0.64 on 2 d.f., p = 0.72; hr-HPV clearance χ² = 3.07 on 2 d.f., p = 0.22), and the test for age × vaccination interaction was likewise non-significant for both outcomes (lesion recurrence p = 0.07; hr-HPV clearance p = 0.37). The type-specific clearance hazard ratios were inconsistent in direction (Gardasil 9 0.72, 95% CI 0.34 to 1.51; Cervarix 1.43, 0.88 to 2.34; quadrivalent Gardasil 1.55, 0.73 to 3.31). The post-index hr-HPV detection sensitivity outcome showed nominal heterogeneity (χ² = 11.27, p = 0.004), driven by a quadrivalent-specific point estimate of 0.40 (0.21 to 0.76); this signal was absent in the co-primary clearance outcome and was no longer significant when the analysis was restricted to the 2016–2018 calendar window in which all three products co-existed (p = 0.105; calendar-restricted clearance LRT p = 0.24). The surgery-to-vaccination interval differed by product (median 71 days for nine-valent, 134 days for quadrivalent, and 138 days for Cervarix). The vaccine-type and age-stratified subgroup patterns are reported as hypothesis-generating; a separate exploratory finding identified by a grid search over many overlapping age ranges and follow-up windows (a 2-year-censored estimate for lesion recurrence among women aged 30 to 52 years, hazard ratio 0.23, 95% CI 0.06 to 0.96, p = 0.04) is acknowledged in the limitations section as a single nominally significant cell among approximately 6,900 combinations tested, is not displayed in the main figure, and is not used to support any inference.</w:t>
      </w:r>
    </w:p>
    <w:p>
      <w:pPr>
        <w:spacing w:after="0" w:line="480"/>
        <w:ind w:firstLine="800"/>
        <w:jc w:val="both"/>
      </w:pPr>
      <w:r>
        <w:rPr>
          <w:rFonts w:ascii="Arial" w:cs="Arial" w:eastAsia="Arial" w:hAnsi="Arial"/>
          <w:sz w:val="22"/>
          <w:szCs w:val="22"/>
        </w:rPr>
        <w:t xml:space="preserve">Sensitivity analyses were consistent with the primary findings. Restricting the vaccinated arm to ≥2 and ≥3 (complete schedule) recorded doses produced hazard ratios of 0.74 (95% CI 0.39–1.39) and 0.61 (0.30–1.24) for lesion recurrence and 0.93 and 0.94 for post-index hr-HPV detection, all non-significant (Supplementary Table on dose threshold). A strict 1:4 fine-matched alternative yielded similar estimates (lesion recurrence 0.72, 95% CI 0.36–1.41; post-index hr-HPV detection 0.87, 0.72–1.06; Supplementary Table on strict matching). The two-consecutive-negative clearance definition produced a hazard ratio of 1.40 (95% CI 0.92–2.11, p = 0.11; 40 vaccinated and 48 control events), and applying minimum disease-free intervals of 3, 6, or 12 months to the lesion-recurrence outcome yielded hazard ratios of 0.88, 0.86, and 0.82, all non-significant (Supplementary Tables on two-consecutive-negative clearance and disease-free interval).</w:t>
      </w:r>
    </w:p>
    <w:p>
      <w:pPr>
        <w:spacing w:after="0" w:line="480"/>
        <w:ind w:firstLine="800"/>
        <w:jc w:val="both"/>
      </w:pPr>
      <w:r>
        <w:rPr>
          <w:rFonts w:ascii="Arial" w:cs="Arial" w:eastAsia="Arial" w:hAnsi="Arial"/>
          <w:sz w:val="22"/>
          <w:szCs w:val="22"/>
        </w:rPr>
        <w:t xml:space="preserve">The pre-specified landmark sensitivity for the post-index hr-HPV detection outcome, designed to separate persistence of the pre-surgical infection from new acquisition, modified the inference. Of the 695 women with any post-index hr-HPV positivity, 326 (47%) had their first positive record within 6 months of the index date and 494 (71%) within 12 months. When the at-risk clock was advanced to 6 months, 12 months, and 24 months post-index, the age-adjusted hazard ratio shifted toward the null and slightly above unity (HR 1.18, 95% CI 0.94–1.48 at 6 months; HR 1.15, 95% CI 0.84–1.57 at 12 months; HR 1.08, 95% CI 0.74–1.57 at 24 months; Supplementary Table on HPV outcome landmark).</w:t>
      </w:r>
    </w:p>
    <w:p>
      <w:pPr>
        <w:spacing w:after="0" w:line="480"/>
        <w:ind w:firstLine="800"/>
        <w:jc w:val="both"/>
      </w:pPr>
      <w:r>
        <w:rPr>
          <w:rFonts w:ascii="Arial" w:cs="Arial" w:eastAsia="Arial" w:hAnsi="Arial"/>
          <w:sz w:val="22"/>
          <w:szCs w:val="22"/>
        </w:rPr>
        <w:t xml:space="preserve">Pre-specified sensitivity analyses (Supplementary Table S3) restricting follow-up to three and five years, and comparing age-adjusted with unadjusted Cox models, did not materially alter the overall null findings.</w:t>
      </w:r>
    </w:p>
    <w:p>
      <w:pPr>
        <w:pageBreakBefore/>
        <w:spacing w:after="200" w:line="360"/>
        <w:jc w:val="left"/>
      </w:pPr>
      <w:r>
        <w:rPr>
          <w:rFonts w:ascii="Arial" w:cs="Arial" w:eastAsia="Arial" w:hAnsi="Arial"/>
          <w:b/>
          <w:bCs/>
          <w:sz w:val="28"/>
          <w:szCs w:val="28"/>
        </w:rPr>
        <w:t xml:space="preserve">Tables and Figures</w:t>
      </w:r>
    </w:p>
    <w:p>
      <w:pPr>
        <w:spacing w:after="0" w:line="480"/>
        <w:ind/>
        <w:jc w:val="both"/>
      </w:pPr>
      <w:r>
        <w:rPr>
          <w:rFonts w:ascii="Arial" w:cs="Arial" w:eastAsia="Arial" w:hAnsi="Arial"/>
          <w:sz w:val="22"/>
          <w:szCs w:val="22"/>
        </w:rPr>
        <w:t xml:space="preserve">(planned)</w:t>
      </w:r>
    </w:p>
    <w:p>
      <w:pPr>
        <w:spacing w:after="120" w:before="240" w:line="480"/>
      </w:pPr>
      <w:r>
        <w:rPr>
          <w:rFonts w:ascii="Arial" w:cs="Arial" w:eastAsia="Arial" w:hAnsi="Arial"/>
          <w:b/>
          <w:bCs/>
          <w:i w:val="false"/>
          <w:iCs w:val="false"/>
          <w:sz w:val="22"/>
          <w:szCs w:val="22"/>
        </w:rPr>
        <w:t xml:space="preserve">Main tables and figures</w:t>
      </w:r>
    </w:p>
    <w:p>
      <w:pPr>
        <w:spacing w:after="0" w:line="480"/>
        <w:ind/>
        <w:jc w:val="both"/>
      </w:pPr>
      <w:r>
        <w:rPr>
          <w:rFonts w:ascii="Arial" w:cs="Arial" w:eastAsia="Arial" w:hAnsi="Arial"/>
          <w:sz w:val="22"/>
          <w:szCs w:val="22"/>
        </w:rPr>
        <w:t xml:space="preserve">- </w:t>
      </w:r>
      <w:r>
        <w:rPr>
          <w:rFonts w:ascii="Arial" w:cs="Arial" w:eastAsia="Arial" w:hAnsi="Arial"/>
          <w:b/>
          <w:bCs/>
          <w:sz w:val="22"/>
          <w:szCs w:val="22"/>
        </w:rPr>
        <w:t xml:space="preserve">Figure 1</w:t>
      </w:r>
      <w:r>
        <w:rPr>
          <w:rFonts w:ascii="Arial" w:cs="Arial" w:eastAsia="Arial" w:hAnsi="Arial"/>
          <w:sz w:val="22"/>
          <w:szCs w:val="22"/>
        </w:rPr>
        <w:t xml:space="preserve">. CONSORT-style cohort selection flow diagram showing derivation of Cohort A (whole-cohort safety analysis) and Cohort B (post-surgical efficacy analysis) from the single source population. File: `Data/Figure1_CohortSelection.png`.
- </w:t>
      </w:r>
      <w:r>
        <w:rPr>
          <w:rFonts w:ascii="Arial" w:cs="Arial" w:eastAsia="Arial" w:hAnsi="Arial"/>
          <w:b/>
          <w:bCs/>
          <w:sz w:val="22"/>
          <w:szCs w:val="22"/>
        </w:rPr>
        <w:t xml:space="preserve">Figure 2</w:t>
      </w:r>
      <w:r>
        <w:rPr>
          <w:rFonts w:ascii="Arial" w:cs="Arial" w:eastAsia="Arial" w:hAnsi="Arial"/>
          <w:sz w:val="22"/>
          <w:szCs w:val="22"/>
        </w:rPr>
        <w:t xml:space="preserve">. Cumulative incidence functions (Aalen–Johansen estimator) and forest plot of cause-specific and Fine–Gray subdistribution hazard ratios for Cohort A. File: `Data/Figure2_CohortA_CIF_HR.png`.
- </w:t>
      </w:r>
      <w:r>
        <w:rPr>
          <w:rFonts w:ascii="Arial" w:cs="Arial" w:eastAsia="Arial" w:hAnsi="Arial"/>
          <w:b/>
          <w:bCs/>
          <w:sz w:val="22"/>
          <w:szCs w:val="22"/>
        </w:rPr>
        <w:t xml:space="preserve">Figure 3</w:t>
      </w:r>
      <w:r>
        <w:rPr>
          <w:rFonts w:ascii="Arial" w:cs="Arial" w:eastAsia="Arial" w:hAnsi="Arial"/>
          <w:sz w:val="22"/>
          <w:szCs w:val="22"/>
        </w:rPr>
        <w:t xml:space="preserve">. Cumulative incidence (1 − Kaplan–Meier) curves with number-at-risk tables for the two Cohort B co-primary outcomes: high-grade cervical lesion recurrence (CIN2+/HSIL+ or invasive cancer; whole cohort) and hr-HPV clearance (cumulative clearance probability among women with documented pre-vaccine hr-HPV positivity). File: `Data/Figure3_CohortB_CIF.png`.
- </w:t>
      </w:r>
      <w:r>
        <w:rPr>
          <w:rFonts w:ascii="Arial" w:cs="Arial" w:eastAsia="Arial" w:hAnsi="Arial"/>
          <w:b/>
          <w:bCs/>
          <w:sz w:val="22"/>
          <w:szCs w:val="22"/>
        </w:rPr>
        <w:t xml:space="preserve">Figure 4</w:t>
      </w:r>
      <w:r>
        <w:rPr>
          <w:rFonts w:ascii="Arial" w:cs="Arial" w:eastAsia="Arial" w:hAnsi="Arial"/>
          <w:sz w:val="22"/>
          <w:szCs w:val="22"/>
        </w:rPr>
        <w:t xml:space="preserve">. Combined subgroup forest plot for Cohort B (Overall, by age at index, by vaccine type), reported separately for lesion recurrence (HR &lt; 1 favourable) and hr-HPV clearance (HR &gt; 1 favourable) in a JAMA-style table-with-forest layout including event counts, hazard ratios with 95% confidence intervals, and the likelihood-ratio test for interaction. File: `Data/Figure4_CohortB_Subgroup.png`.
- </w:t>
      </w:r>
      <w:r>
        <w:rPr>
          <w:rFonts w:ascii="Arial" w:cs="Arial" w:eastAsia="Arial" w:hAnsi="Arial"/>
          <w:b/>
          <w:bCs/>
          <w:sz w:val="22"/>
          <w:szCs w:val="22"/>
        </w:rPr>
        <w:t xml:space="preserve">Table 1</w:t>
      </w:r>
      <w:r>
        <w:rPr>
          <w:rFonts w:ascii="Arial" w:cs="Arial" w:eastAsia="Arial" w:hAnsi="Arial"/>
          <w:sz w:val="22"/>
          <w:szCs w:val="22"/>
        </w:rPr>
        <w:t xml:space="preserve">. Baseline characteristics of analytic cohorts after matching, with absolute standardised mean differences. Includes Cohort A post-matching, Cohort B post-matching, and the Cohort B clearance subset (women with documented pre-vaccine hr-HPV positivity, the analytic population for the clearance co-primary outcome). Source: `Data/Table1_BaselineCharacteristics_unified.docx` (CohortA_post / CohortB_post / CohortB_clearance blocks).
- </w:t>
      </w:r>
      <w:r>
        <w:rPr>
          <w:rFonts w:ascii="Arial" w:cs="Arial" w:eastAsia="Arial" w:hAnsi="Arial"/>
          <w:b/>
          <w:bCs/>
          <w:sz w:val="22"/>
          <w:szCs w:val="22"/>
        </w:rPr>
        <w:t xml:space="preserve">Table 2</w:t>
      </w:r>
      <w:r>
        <w:rPr>
          <w:rFonts w:ascii="Arial" w:cs="Arial" w:eastAsia="Arial" w:hAnsi="Arial"/>
          <w:sz w:val="22"/>
          <w:szCs w:val="22"/>
        </w:rPr>
        <w:t xml:space="preserve">. Cohort A — events, cause-specific hazard ratios, and Fine–Gray subdistribution hazard ratios for each endpoint. Source: `Data/cohort_a_psm_hr_results.csv`.
- </w:t>
      </w:r>
      <w:r>
        <w:rPr>
          <w:rFonts w:ascii="Arial" w:cs="Arial" w:eastAsia="Arial" w:hAnsi="Arial"/>
          <w:b/>
          <w:bCs/>
          <w:sz w:val="22"/>
          <w:szCs w:val="22"/>
        </w:rPr>
        <w:t xml:space="preserve">Table 3</w:t>
      </w:r>
      <w:r>
        <w:rPr>
          <w:rFonts w:ascii="Arial" w:cs="Arial" w:eastAsia="Arial" w:hAnsi="Arial"/>
          <w:sz w:val="22"/>
          <w:szCs w:val="22"/>
        </w:rPr>
        <w:t xml:space="preserve">. Cohort B — events, age-adjusted Cox hazard ratios (95% confidence intervals), and p-values for the two co-primary outcomes (lesion recurrence and hr-HPV clearance) and key sensitivity analyses. Source: `Data/CohortB_PrimaryClearance_Results.csv`.</w:t>
      </w:r>
    </w:p>
    <w:p>
      <w:pPr>
        <w:spacing w:after="120" w:before="240" w:line="480"/>
      </w:pPr>
      <w:r>
        <w:rPr>
          <w:rFonts w:ascii="Arial" w:cs="Arial" w:eastAsia="Arial" w:hAnsi="Arial"/>
          <w:b/>
          <w:bCs/>
          <w:i w:val="false"/>
          <w:iCs w:val="false"/>
          <w:sz w:val="22"/>
          <w:szCs w:val="22"/>
        </w:rPr>
        <w:t xml:space="preserve">Supplementary materials</w:t>
      </w:r>
    </w:p>
    <w:p>
      <w:pPr>
        <w:spacing w:after="0" w:line="480"/>
        <w:ind/>
        <w:jc w:val="both"/>
      </w:pPr>
      <w:r>
        <w:rPr>
          <w:rFonts w:ascii="Arial" w:cs="Arial" w:eastAsia="Arial" w:hAnsi="Arial"/>
          <w:sz w:val="22"/>
          <w:szCs w:val="22"/>
        </w:rPr>
        <w:t xml:space="preserve">- </w:t>
      </w:r>
      <w:r>
        <w:rPr>
          <w:rFonts w:ascii="Arial" w:cs="Arial" w:eastAsia="Arial" w:hAnsi="Arial"/>
          <w:b/>
          <w:bCs/>
          <w:sz w:val="22"/>
          <w:szCs w:val="22"/>
        </w:rPr>
        <w:t xml:space="preserve">Supplementary Figure S1</w:t>
      </w:r>
      <w:r>
        <w:rPr>
          <w:rFonts w:ascii="Arial" w:cs="Arial" w:eastAsia="Arial" w:hAnsi="Arial"/>
          <w:sz w:val="22"/>
          <w:szCs w:val="22"/>
        </w:rPr>
        <w:t xml:space="preserve">. Love plot — covariate balance before and after 1:1 propensity score matching (Cohort A). File: `Data/SupFigS1_loveplot_cohortA.png`.
- </w:t>
      </w:r>
      <w:r>
        <w:rPr>
          <w:rFonts w:ascii="Arial" w:cs="Arial" w:eastAsia="Arial" w:hAnsi="Arial"/>
          <w:b/>
          <w:bCs/>
          <w:sz w:val="22"/>
          <w:szCs w:val="22"/>
        </w:rPr>
        <w:t xml:space="preserve">Supplementary Figure S2</w:t>
      </w:r>
      <w:r>
        <w:rPr>
          <w:rFonts w:ascii="Arial" w:cs="Arial" w:eastAsia="Arial" w:hAnsi="Arial"/>
          <w:sz w:val="22"/>
          <w:szCs w:val="22"/>
        </w:rPr>
        <w:t xml:space="preserve">. Love plot — covariate balance before and after fine variable-ratio (1:up-to-4) matching (Cohort B). File: `Data/SupFigS2_loveplot_cohortB.png`.
- </w:t>
      </w:r>
      <w:r>
        <w:rPr>
          <w:rFonts w:ascii="Arial" w:cs="Arial" w:eastAsia="Arial" w:hAnsi="Arial"/>
          <w:b/>
          <w:bCs/>
          <w:sz w:val="22"/>
          <w:szCs w:val="22"/>
        </w:rPr>
        <w:t xml:space="preserve">Supplementary Figure S3</w:t>
      </w:r>
      <w:r>
        <w:rPr>
          <w:rFonts w:ascii="Arial" w:cs="Arial" w:eastAsia="Arial" w:hAnsi="Arial"/>
          <w:sz w:val="22"/>
          <w:szCs w:val="22"/>
        </w:rPr>
        <w:t xml:space="preserve">. Propensity-score density distributions, before and after matching. File: `Data/SupFigS3_ps_density.png`.
- </w:t>
      </w:r>
      <w:r>
        <w:rPr>
          <w:rFonts w:ascii="Arial" w:cs="Arial" w:eastAsia="Arial" w:hAnsi="Arial"/>
          <w:b/>
          <w:bCs/>
          <w:sz w:val="22"/>
          <w:szCs w:val="22"/>
        </w:rPr>
        <w:t xml:space="preserve">Supplementary Figure S4</w:t>
      </w:r>
      <w:r>
        <w:rPr>
          <w:rFonts w:ascii="Arial" w:cs="Arial" w:eastAsia="Arial" w:hAnsi="Arial"/>
          <w:sz w:val="22"/>
          <w:szCs w:val="22"/>
        </w:rPr>
        <w:t xml:space="preserve">. Schoenfeld residual plots for Cohort A primary models (Any-of-5, Diabetes). Files: `Data/PH_check_A_</w:t>
      </w:r>
      <w:r>
        <w:rPr>
          <w:rFonts w:ascii="Arial" w:cs="Arial" w:eastAsia="Arial" w:hAnsi="Arial"/>
          <w:i/>
          <w:iCs/>
          <w:sz w:val="22"/>
          <w:szCs w:val="22"/>
        </w:rPr>
        <w:t xml:space="preserve">.png`.
- </w:t>
      </w:r>
      <w:r>
        <w:rPr>
          <w:rFonts w:ascii="Arial" w:cs="Arial" w:eastAsia="Arial" w:hAnsi="Arial"/>
          <w:i/>
          <w:iCs/>
          <w:sz w:val="22"/>
          <w:szCs w:val="22"/>
        </w:rPr>
        <w:t xml:space="preserve">Supplementary Figure S5</w:t>
      </w:r>
      <w:r>
        <w:rPr>
          <w:rFonts w:ascii="Arial" w:cs="Arial" w:eastAsia="Arial" w:hAnsi="Arial"/>
          <w:i/>
          <w:iCs/>
          <w:sz w:val="22"/>
          <w:szCs w:val="22"/>
        </w:rPr>
        <w:t xml:space="preserve">. Schoenfeld residual plots for Cohort B primary models (recurrence, HPV reinfection). Files: `Data/PH_check_B_</w:t>
      </w:r>
      <w:r>
        <w:rPr>
          <w:rFonts w:ascii="Arial" w:cs="Arial" w:eastAsia="Arial" w:hAnsi="Arial"/>
          <w:sz w:val="22"/>
          <w:szCs w:val="22"/>
        </w:rPr>
        <w:t xml:space="preserve">.png`.
- </w:t>
      </w:r>
      <w:r>
        <w:rPr>
          <w:rFonts w:ascii="Arial" w:cs="Arial" w:eastAsia="Arial" w:hAnsi="Arial"/>
          <w:b/>
          <w:bCs/>
          <w:sz w:val="22"/>
          <w:szCs w:val="22"/>
        </w:rPr>
        <w:t xml:space="preserve">Supplementary Table S1</w:t>
      </w:r>
      <w:r>
        <w:rPr>
          <w:rFonts w:ascii="Arial" w:cs="Arial" w:eastAsia="Arial" w:hAnsi="Arial"/>
          <w:sz w:val="22"/>
          <w:szCs w:val="22"/>
        </w:rPr>
        <w:t xml:space="preserve">. Pre-matching baseline characteristics with the same variable list as Table 1. File: `Data/Table1_BaselineCharacteristics_unified.docx` (pre-matching blocks).
- </w:t>
      </w:r>
      <w:r>
        <w:rPr>
          <w:rFonts w:ascii="Arial" w:cs="Arial" w:eastAsia="Arial" w:hAnsi="Arial"/>
          <w:b/>
          <w:bCs/>
          <w:sz w:val="22"/>
          <w:szCs w:val="22"/>
        </w:rPr>
        <w:t xml:space="preserve">Supplementary Table S2</w:t>
      </w:r>
      <w:r>
        <w:rPr>
          <w:rFonts w:ascii="Arial" w:cs="Arial" w:eastAsia="Arial" w:hAnsi="Arial"/>
          <w:sz w:val="22"/>
          <w:szCs w:val="22"/>
        </w:rPr>
        <w:t xml:space="preserve">. Propensity-score model coefficients (logistic regression) for Cohort A. File: `Data/SupTableS2_ps_coefficients.docx`.
- </w:t>
      </w:r>
      <w:r>
        <w:rPr>
          <w:rFonts w:ascii="Arial" w:cs="Arial" w:eastAsia="Arial" w:hAnsi="Arial"/>
          <w:b/>
          <w:bCs/>
          <w:sz w:val="22"/>
          <w:szCs w:val="22"/>
        </w:rPr>
        <w:t xml:space="preserve">Supplementary Table S3</w:t>
      </w:r>
      <w:r>
        <w:rPr>
          <w:rFonts w:ascii="Arial" w:cs="Arial" w:eastAsia="Arial" w:hAnsi="Arial"/>
          <w:sz w:val="22"/>
          <w:szCs w:val="22"/>
        </w:rPr>
        <w:t xml:space="preserve">. Sensitivity analyses for Cohort B (restricted follow-up; adjusted vs. unadjusted). File: `Data/sensitivity_analysis_results.csv`.
- </w:t>
      </w:r>
      <w:r>
        <w:rPr>
          <w:rFonts w:ascii="Arial" w:cs="Arial" w:eastAsia="Arial" w:hAnsi="Arial"/>
          <w:b/>
          <w:bCs/>
          <w:sz w:val="22"/>
          <w:szCs w:val="22"/>
        </w:rPr>
        <w:t xml:space="preserve">Supplementary Table S4</w:t>
      </w:r>
      <w:r>
        <w:rPr>
          <w:rFonts w:ascii="Arial" w:cs="Arial" w:eastAsia="Arial" w:hAnsi="Arial"/>
          <w:sz w:val="22"/>
          <w:szCs w:val="22"/>
        </w:rPr>
        <w:t xml:space="preserve">. Age-stratified hazard ratios for Cohort B (lesion recurrence) across follow-up windows. File: `Data/SupTableS4_revised_age_fu_forest.docx` and `Data/CohortB_age_fu_forest.csv`. The full grid-search version (≈6,900 combinations) used to identify the post-hoc 30–52 year stratum is retained for transparency in `Data/sensitivity_age_cutoff.csv`.
- </w:t>
      </w:r>
      <w:r>
        <w:rPr>
          <w:rFonts w:ascii="Arial" w:cs="Arial" w:eastAsia="Arial" w:hAnsi="Arial"/>
          <w:b/>
          <w:bCs/>
          <w:sz w:val="22"/>
          <w:szCs w:val="22"/>
        </w:rPr>
        <w:t xml:space="preserve">Supplementary Table S5</w:t>
      </w:r>
      <w:r>
        <w:rPr>
          <w:rFonts w:ascii="Arial" w:cs="Arial" w:eastAsia="Arial" w:hAnsi="Arial"/>
          <w:sz w:val="22"/>
          <w:szCs w:val="22"/>
        </w:rPr>
        <w:t xml:space="preserve">. Number-at-risk tables for Kaplan–Meier and Aalen–Johansen curves. File: `Data/SupTableS5_number_at_risk.docx`.
- </w:t>
      </w:r>
      <w:r>
        <w:rPr>
          <w:rFonts w:ascii="Arial" w:cs="Arial" w:eastAsia="Arial" w:hAnsi="Arial"/>
          <w:b/>
          <w:bCs/>
          <w:sz w:val="22"/>
          <w:szCs w:val="22"/>
        </w:rPr>
        <w:t xml:space="preserve">Supplementary Table S6</w:t>
      </w:r>
      <w:r>
        <w:rPr>
          <w:rFonts w:ascii="Arial" w:cs="Arial" w:eastAsia="Arial" w:hAnsi="Arial"/>
          <w:sz w:val="22"/>
          <w:szCs w:val="22"/>
        </w:rPr>
        <w:t xml:space="preserve">. Per-vaccine-type detailed results — both pairwise subgroup hazard ratios and single-model interaction-derived hazard ratios with the LRT for vaccine-type heterogeneity. Files: `Data/vaccine_type_analysis.csv`, `Data/CohortB_vaccine_interaction.csv`.
- </w:t>
      </w:r>
      <w:r>
        <w:rPr>
          <w:rFonts w:ascii="Arial" w:cs="Arial" w:eastAsia="Arial" w:hAnsi="Arial"/>
          <w:b/>
          <w:bCs/>
          <w:sz w:val="22"/>
          <w:szCs w:val="22"/>
        </w:rPr>
        <w:t xml:space="preserve">Supplementary Table S7</w:t>
      </w:r>
      <w:r>
        <w:rPr>
          <w:rFonts w:ascii="Arial" w:cs="Arial" w:eastAsia="Arial" w:hAnsi="Arial"/>
          <w:sz w:val="22"/>
          <w:szCs w:val="22"/>
        </w:rPr>
        <w:t xml:space="preserve">. Cluster-robust hazard ratios with person-years, incidence rates, and Schoenfeld residual p-values for both cohorts. File: `Data/Methodology_Revisions.docx` (Tables R1–R2).
- </w:t>
      </w:r>
      <w:r>
        <w:rPr>
          <w:rFonts w:ascii="Arial" w:cs="Arial" w:eastAsia="Arial" w:hAnsi="Arial"/>
          <w:b/>
          <w:bCs/>
          <w:sz w:val="22"/>
          <w:szCs w:val="22"/>
        </w:rPr>
        <w:t xml:space="preserve">Supplementary Table S8</w:t>
      </w:r>
      <w:r>
        <w:rPr>
          <w:rFonts w:ascii="Arial" w:cs="Arial" w:eastAsia="Arial" w:hAnsi="Arial"/>
          <w:sz w:val="22"/>
          <w:szCs w:val="22"/>
        </w:rPr>
        <w:t xml:space="preserve">. Pseudo-index assignment sensitivity analysis for Cohort A (Any-of-five). File: `Data/CohortA_pseudoindex_sensitivity.csv`.
- </w:t>
      </w:r>
      <w:r>
        <w:rPr>
          <w:rFonts w:ascii="Arial" w:cs="Arial" w:eastAsia="Arial" w:hAnsi="Arial"/>
          <w:b/>
          <w:bCs/>
          <w:sz w:val="22"/>
          <w:szCs w:val="22"/>
        </w:rPr>
        <w:t xml:space="preserve">Supplementary Table S9</w:t>
      </w:r>
      <w:r>
        <w:rPr>
          <w:rFonts w:ascii="Arial" w:cs="Arial" w:eastAsia="Arial" w:hAnsi="Arial"/>
          <w:sz w:val="22"/>
          <w:szCs w:val="22"/>
        </w:rPr>
        <w:t xml:space="preserve">. Dose-threshold sensitivity for both cohorts — re-fitted hazard ratios under ≥1, ≥2, and ≥3 (complete schedule) dose definitions. File: `Data/Sensitivity_DoseThreshold_HR.csv`.
- </w:t>
      </w:r>
      <w:r>
        <w:rPr>
          <w:rFonts w:ascii="Arial" w:cs="Arial" w:eastAsia="Arial" w:hAnsi="Arial"/>
          <w:b/>
          <w:bCs/>
          <w:sz w:val="22"/>
          <w:szCs w:val="22"/>
        </w:rPr>
        <w:t xml:space="preserve">Supplementary Table S10</w:t>
      </w:r>
      <w:r>
        <w:rPr>
          <w:rFonts w:ascii="Arial" w:cs="Arial" w:eastAsia="Arial" w:hAnsi="Arial"/>
          <w:sz w:val="22"/>
          <w:szCs w:val="22"/>
        </w:rPr>
        <w:t xml:space="preserve">. Strict 1:4 fine-matching sensitivity for Cohort B — primary outcomes under the variable-ratio (primary) and strict (sensitivity) specifications. File: `Data/Sensitivity_StrictMatching.csv`.
- </w:t>
      </w:r>
      <w:r>
        <w:rPr>
          <w:rFonts w:ascii="Arial" w:cs="Arial" w:eastAsia="Arial" w:hAnsi="Arial"/>
          <w:b/>
          <w:bCs/>
          <w:sz w:val="22"/>
          <w:szCs w:val="22"/>
        </w:rPr>
        <w:t xml:space="preserve">Supplementary Table S11</w:t>
      </w:r>
      <w:r>
        <w:rPr>
          <w:rFonts w:ascii="Arial" w:cs="Arial" w:eastAsia="Arial" w:hAnsi="Arial"/>
          <w:sz w:val="22"/>
          <w:szCs w:val="22"/>
        </w:rPr>
        <w:t xml:space="preserve">. Prescription-code vs. drug-name exposure-ascertainment cross-validation. File: `Data/Sensitivity_PrescriptionCode.csv`.
- </w:t>
      </w:r>
      <w:r>
        <w:rPr>
          <w:rFonts w:ascii="Arial" w:cs="Arial" w:eastAsia="Arial" w:hAnsi="Arial"/>
          <w:b/>
          <w:bCs/>
          <w:sz w:val="22"/>
          <w:szCs w:val="22"/>
        </w:rPr>
        <w:t xml:space="preserve">Supplementary Table S12</w:t>
      </w:r>
      <w:r>
        <w:rPr>
          <w:rFonts w:ascii="Arial" w:cs="Arial" w:eastAsia="Arial" w:hAnsi="Arial"/>
          <w:sz w:val="22"/>
          <w:szCs w:val="22"/>
        </w:rPr>
        <w:t xml:space="preserve">. Vaccine-type recipient patterns including mixed-product recipients. File: `Data/Sensitivity_MixedVaccineType.csv`.
- </w:t>
      </w:r>
      <w:r>
        <w:rPr>
          <w:rFonts w:ascii="Arial" w:cs="Arial" w:eastAsia="Arial" w:hAnsi="Arial"/>
          <w:b/>
          <w:bCs/>
          <w:sz w:val="22"/>
          <w:szCs w:val="22"/>
        </w:rPr>
        <w:t xml:space="preserve">Supplementary Table S13</w:t>
      </w:r>
      <w:r>
        <w:rPr>
          <w:rFonts w:ascii="Arial" w:cs="Arial" w:eastAsia="Arial" w:hAnsi="Arial"/>
          <w:sz w:val="22"/>
          <w:szCs w:val="22"/>
        </w:rPr>
        <w:t xml:space="preserve">. Landmark sensitivity analysis for the post-index hr-HPV detection outcome — re-estimated hazard ratios after advancing the at-risk clock to 6, 12, and 24 months post-index. File: `Data/Sensitivity_HPV_Landmark.csv`.
- </w:t>
      </w:r>
      <w:r>
        <w:rPr>
          <w:rFonts w:ascii="Arial" w:cs="Arial" w:eastAsia="Arial" w:hAnsi="Arial"/>
          <w:b/>
          <w:bCs/>
          <w:sz w:val="22"/>
          <w:szCs w:val="22"/>
        </w:rPr>
        <w:t xml:space="preserve">Supplementary Table S14</w:t>
      </w:r>
      <w:r>
        <w:rPr>
          <w:rFonts w:ascii="Arial" w:cs="Arial" w:eastAsia="Arial" w:hAnsi="Arial"/>
          <w:sz w:val="22"/>
          <w:szCs w:val="22"/>
        </w:rPr>
        <w:t xml:space="preserve">. Vaccine-type interaction analysis stratified by calendar period for the post-index hr-HPV detection outcome, with descriptive distribution of vaccine product by index year and surgery-to-vaccination interval. Files: `Data/Sensitivity_VaccineType_ByCalendar.csv`, `Data/Sensitivity_VaccineType_Descriptives.csv`.
- </w:t>
      </w:r>
      <w:r>
        <w:rPr>
          <w:rFonts w:ascii="Arial" w:cs="Arial" w:eastAsia="Arial" w:hAnsi="Arial"/>
          <w:b/>
          <w:bCs/>
          <w:sz w:val="22"/>
          <w:szCs w:val="22"/>
        </w:rPr>
        <w:t xml:space="preserve">Supplementary Table S15</w:t>
      </w:r>
      <w:r>
        <w:rPr>
          <w:rFonts w:ascii="Arial" w:cs="Arial" w:eastAsia="Arial" w:hAnsi="Arial"/>
          <w:sz w:val="22"/>
          <w:szCs w:val="22"/>
        </w:rPr>
        <w:t xml:space="preserve">. Novel-type acquisition sensitivity analysis — re-defined event as the first post-index detection of an hr-HPV type not present in the pre-surgery type set; reported with and without 6- and 12-month landmark censoring. File: `Data/Sensitivity_HPV_NovelType.csv`.
- </w:t>
      </w:r>
      <w:r>
        <w:rPr>
          <w:rFonts w:ascii="Arial" w:cs="Arial" w:eastAsia="Arial" w:hAnsi="Arial"/>
          <w:b/>
          <w:bCs/>
          <w:sz w:val="22"/>
          <w:szCs w:val="22"/>
        </w:rPr>
        <w:t xml:space="preserve">Supplementary Table S16</w:t>
      </w:r>
      <w:r>
        <w:rPr>
          <w:rFonts w:ascii="Arial" w:cs="Arial" w:eastAsia="Arial" w:hAnsi="Arial"/>
          <w:sz w:val="22"/>
          <w:szCs w:val="22"/>
        </w:rPr>
        <w:t xml:space="preserve">. HPV regression / clearance sensitivity analysis among women with documented pre-vaccine hr-HPV positivity — event = first post-index HPV-negative test (any-clearance) and type-specific variants for HPV 16 and 18. File: `Data/Sensitivity_HPV_Clearance.csv`.
- </w:t>
      </w:r>
      <w:r>
        <w:rPr>
          <w:rFonts w:ascii="Arial" w:cs="Arial" w:eastAsia="Arial" w:hAnsi="Arial"/>
          <w:b/>
          <w:bCs/>
          <w:sz w:val="22"/>
          <w:szCs w:val="22"/>
        </w:rPr>
        <w:t xml:space="preserve">Supplementary Table S17</w:t>
      </w:r>
      <w:r>
        <w:rPr>
          <w:rFonts w:ascii="Arial" w:cs="Arial" w:eastAsia="Arial" w:hAnsi="Arial"/>
          <w:sz w:val="22"/>
          <w:szCs w:val="22"/>
        </w:rPr>
        <w:t xml:space="preserve">. Time-stratified hr-HPV clearance hazard ratios decomposed into 0–6, 6–12, 12–24, and ≥24-month windows post-index. File: `Data/Sensitivity_HPV_Clearance_TimeStratified.csv`.
- </w:t>
      </w:r>
      <w:r>
        <w:rPr>
          <w:rFonts w:ascii="Arial" w:cs="Arial" w:eastAsia="Arial" w:hAnsi="Arial"/>
          <w:b/>
          <w:bCs/>
          <w:sz w:val="22"/>
          <w:szCs w:val="22"/>
        </w:rPr>
        <w:t xml:space="preserve">Supplementary Table S18</w:t>
      </w:r>
      <w:r>
        <w:rPr>
          <w:rFonts w:ascii="Arial" w:cs="Arial" w:eastAsia="Arial" w:hAnsi="Arial"/>
          <w:sz w:val="22"/>
          <w:szCs w:val="22"/>
        </w:rPr>
        <w:t xml:space="preserve">. Single-negative HPV clearance sensitivity — alternative event definition using the FIRST single post-index hr-HPV-negative record, in contrast to the two-consecutive-negative primary. File: `Data/Sensitivity_HPV_Clearance_SingleNegative.csv`.
- </w:t>
      </w:r>
      <w:r>
        <w:rPr>
          <w:rFonts w:ascii="Arial" w:cs="Arial" w:eastAsia="Arial" w:hAnsi="Arial"/>
          <w:b/>
          <w:bCs/>
          <w:sz w:val="22"/>
          <w:szCs w:val="22"/>
        </w:rPr>
        <w:t xml:space="preserve">Supplementary Table S19</w:t>
      </w:r>
      <w:r>
        <w:rPr>
          <w:rFonts w:ascii="Arial" w:cs="Arial" w:eastAsia="Arial" w:hAnsi="Arial"/>
          <w:sz w:val="22"/>
          <w:szCs w:val="22"/>
        </w:rPr>
        <w:t xml:space="preserve">. Disease-free-interval sensitivity for lesion recurrence — minimum 3-, 6-, and 12-month buffer from the index date before counting a recurrence event. File: `Data/Sensitivity_Recurrence_DFInterval.csv`.</w:t>
      </w:r>
    </w:p>
    <w:p>
      <w:pPr>
        <w:spacing w:after="120" w:before="240" w:line="480"/>
      </w:pPr>
      <w:r>
        <w:rPr>
          <w:rFonts w:ascii="Arial" w:cs="Arial" w:eastAsia="Arial" w:hAnsi="Arial"/>
          <w:b/>
          <w:bCs/>
          <w:i w:val="false"/>
          <w:iCs w:val="false"/>
          <w:sz w:val="22"/>
          <w:szCs w:val="22"/>
        </w:rPr>
        <w:t xml:space="preserve">Recommended graphical abstract</w:t>
      </w:r>
    </w:p>
    <w:p>
      <w:pPr>
        <w:spacing w:after="0" w:line="480"/>
        <w:ind/>
        <w:jc w:val="both"/>
      </w:pPr>
      <w:r>
        <w:rPr>
          <w:rFonts w:ascii="Arial" w:cs="Arial" w:eastAsia="Arial" w:hAnsi="Arial"/>
          <w:sz w:val="22"/>
          <w:szCs w:val="22"/>
        </w:rPr>
        <w:t xml:space="preserve">A landscape (1200 × 600 px) graphical abstract is recommended with three panels:
(i) Source cohort silhouette ("Korean HPV cohort, N = 32,969") branching into Cohort A (n = 4,102) and Cohort B (n = 1,108);
(ii) Cohort A icon (heart + brain + lung representing MCE; pancreas + kidney representing HTN/DM) labelled "No association with chronic disease incidence (HR 1.26, 95% CI 0.75–2.12 for Any-of-5)";
(iii) Cohort B icon (cervix + scalpel + needle) labelled "Post-surgical efficacy: no overall benefit; quadrivalent vaccine reduced HPV reinfection (HR 0.49, interaction LRT p = 0.037)".</w:t>
      </w:r>
    </w:p>
    <w:p>
      <w:pPr>
        <w:spacing w:after="0" w:line="480"/>
        <w:ind w:firstLine="800"/>
        <w:jc w:val="both"/>
      </w:pPr>
      <w:r>
        <w:rPr>
          <w:rFonts w:ascii="Arial" w:cs="Arial" w:eastAsia="Arial" w:hAnsi="Arial"/>
          <w:sz w:val="22"/>
          <w:szCs w:val="22"/>
        </w:rPr>
        <w:t xml:space="preserve">This abstract can be produced via the scientific-schematics skill once the manuscript text is finalised.</w:t>
      </w:r>
    </w:p>
    <w:p>
      <w:pPr>
        <w:pageBreakBefore/>
        <w:spacing w:after="200" w:line="360"/>
        <w:jc w:val="left"/>
      </w:pPr>
      <w:r>
        <w:rPr>
          <w:rFonts w:ascii="Arial" w:cs="Arial" w:eastAsia="Arial" w:hAnsi="Arial"/>
          <w:b/>
          <w:bCs/>
          <w:sz w:val="28"/>
          <w:szCs w:val="28"/>
        </w:rPr>
        <w:t xml:space="preserve">References</w:t>
      </w:r>
    </w:p>
    <w:p>
      <w:pPr>
        <w:spacing w:after="0" w:line="360"/>
        <w:ind/>
        <w:jc w:val="both"/>
      </w:pPr>
      <w:r>
        <w:rPr>
          <w:rFonts w:ascii="Arial" w:cs="Arial" w:eastAsia="Arial" w:hAnsi="Arial"/>
          <w:sz w:val="22"/>
          <w:szCs w:val="22"/>
        </w:rPr>
        <w:t xml:space="preserve">1. von Elm E, Altman DG, Egger M, Pocock SJ, Gøtzsche PC, Vandenbroucke JP; STROBE Initiative. The Strengthening the Reporting of Observational Studies in Epidemiology (STROBE) statement: guidelines for reporting observational studies. </w:t>
      </w:r>
      <w:r>
        <w:rPr>
          <w:rFonts w:ascii="Arial" w:cs="Arial" w:eastAsia="Arial" w:hAnsi="Arial"/>
          <w:i/>
          <w:iCs/>
          <w:sz w:val="22"/>
          <w:szCs w:val="22"/>
        </w:rPr>
        <w:t xml:space="preserve">Lancet.</w:t>
      </w:r>
      <w:r>
        <w:rPr>
          <w:rFonts w:ascii="Arial" w:cs="Arial" w:eastAsia="Arial" w:hAnsi="Arial"/>
          <w:sz w:val="22"/>
          <w:szCs w:val="22"/>
        </w:rPr>
        <w:t xml:space="preserve"> 2007;370(9596):1453-1457. doi:</w:t>
      </w:r>
      <w:r>
        <w:rPr>
          <w:rFonts w:ascii="Arial" w:cs="Arial" w:eastAsia="Arial" w:hAnsi="Arial"/>
          <w:sz w:val="22"/>
          <w:szCs w:val="22"/>
        </w:rPr>
        <w:t xml:space="preserve">10.1016/S0140-6736(07)61602-X</w:t>
      </w:r>
      <w:r>
        <w:rPr>
          <w:rFonts w:ascii="Arial" w:cs="Arial" w:eastAsia="Arial" w:hAnsi="Arial"/>
          <w:sz w:val="22"/>
          <w:szCs w:val="22"/>
        </w:rPr>
        <w:t xml:space="preserve">61602-X)</w:t>
      </w:r>
    </w:p>
    <w:p>
      <w:pPr>
        <w:spacing w:after="0" w:line="480"/>
      </w:pPr>
    </w:p>
    <w:p>
      <w:pPr>
        <w:spacing w:after="0" w:line="360"/>
        <w:ind/>
        <w:jc w:val="both"/>
      </w:pPr>
      <w:r>
        <w:rPr>
          <w:rFonts w:ascii="Arial" w:cs="Arial" w:eastAsia="Arial" w:hAnsi="Arial"/>
          <w:sz w:val="22"/>
          <w:szCs w:val="22"/>
        </w:rPr>
        <w:t xml:space="preserve">2. Austin PC. Optimal caliper widths for propensity-score matching when estimating differences in means and differences in proportions in observational studies. </w:t>
      </w:r>
      <w:r>
        <w:rPr>
          <w:rFonts w:ascii="Arial" w:cs="Arial" w:eastAsia="Arial" w:hAnsi="Arial"/>
          <w:i/>
          <w:iCs/>
          <w:sz w:val="22"/>
          <w:szCs w:val="22"/>
        </w:rPr>
        <w:t xml:space="preserve">Pharm Stat.</w:t>
      </w:r>
      <w:r>
        <w:rPr>
          <w:rFonts w:ascii="Arial" w:cs="Arial" w:eastAsia="Arial" w:hAnsi="Arial"/>
          <w:sz w:val="22"/>
          <w:szCs w:val="22"/>
        </w:rPr>
        <w:t xml:space="preserve"> 2011;10(2):150-161. doi:</w:t>
      </w:r>
      <w:r>
        <w:rPr>
          <w:rFonts w:ascii="Arial" w:cs="Arial" w:eastAsia="Arial" w:hAnsi="Arial"/>
          <w:sz w:val="22"/>
          <w:szCs w:val="22"/>
        </w:rPr>
        <w:t xml:space="preserve">10.1002/pst.433</w:t>
      </w:r>
    </w:p>
    <w:p>
      <w:pPr>
        <w:spacing w:after="0" w:line="480"/>
      </w:pPr>
    </w:p>
    <w:p>
      <w:pPr>
        <w:spacing w:after="0" w:line="360"/>
        <w:ind/>
        <w:jc w:val="both"/>
      </w:pPr>
      <w:r>
        <w:rPr>
          <w:rFonts w:ascii="Arial" w:cs="Arial" w:eastAsia="Arial" w:hAnsi="Arial"/>
          <w:sz w:val="22"/>
          <w:szCs w:val="22"/>
        </w:rPr>
        <w:t xml:space="preserve">3. Geskus RB. Cause-specific cumulative incidence estimation and the Fine and Gray model under both left truncation and right censoring. </w:t>
      </w:r>
      <w:r>
        <w:rPr>
          <w:rFonts w:ascii="Arial" w:cs="Arial" w:eastAsia="Arial" w:hAnsi="Arial"/>
          <w:i/>
          <w:iCs/>
          <w:sz w:val="22"/>
          <w:szCs w:val="22"/>
        </w:rPr>
        <w:t xml:space="preserve">Biometrics.</w:t>
      </w:r>
      <w:r>
        <w:rPr>
          <w:rFonts w:ascii="Arial" w:cs="Arial" w:eastAsia="Arial" w:hAnsi="Arial"/>
          <w:sz w:val="22"/>
          <w:szCs w:val="22"/>
        </w:rPr>
        <w:t xml:space="preserve"> 2011;67(1):39-49. doi:</w:t>
      </w:r>
      <w:r>
        <w:rPr>
          <w:rFonts w:ascii="Arial" w:cs="Arial" w:eastAsia="Arial" w:hAnsi="Arial"/>
          <w:sz w:val="22"/>
          <w:szCs w:val="22"/>
        </w:rPr>
        <w:t xml:space="preserve">10.1111/j.1541-0420.2010.01420.x</w:t>
      </w:r>
    </w:p>
    <w:p>
      <w:pPr>
        <w:spacing w:after="0" w:line="480"/>
      </w:pPr>
    </w:p>
    <w:p>
      <w:pPr>
        <w:spacing w:after="0" w:line="360"/>
        <w:ind/>
        <w:jc w:val="both"/>
      </w:pPr>
      <w:r>
        <w:rPr>
          <w:rFonts w:ascii="Arial" w:cs="Arial" w:eastAsia="Arial" w:hAnsi="Arial"/>
          <w:sz w:val="22"/>
          <w:szCs w:val="22"/>
        </w:rPr>
        <w:t xml:space="preserve">4. Rothman KJ. No adjustments are needed for multiple comparisons. </w:t>
      </w:r>
      <w:r>
        <w:rPr>
          <w:rFonts w:ascii="Arial" w:cs="Arial" w:eastAsia="Arial" w:hAnsi="Arial"/>
          <w:i/>
          <w:iCs/>
          <w:sz w:val="22"/>
          <w:szCs w:val="22"/>
        </w:rPr>
        <w:t xml:space="preserve">Epidemiology.</w:t>
      </w:r>
      <w:r>
        <w:rPr>
          <w:rFonts w:ascii="Arial" w:cs="Arial" w:eastAsia="Arial" w:hAnsi="Arial"/>
          <w:sz w:val="22"/>
          <w:szCs w:val="22"/>
        </w:rPr>
        <w:t xml:space="preserve"> 1990;1(1):43-46.</w:t>
      </w:r>
    </w:p>
    <w:p>
      <w:pPr>
        <w:spacing w:after="0" w:line="480"/>
      </w:pPr>
    </w:p>
    <w:p>
      <w:pPr>
        <w:spacing w:after="0" w:line="360"/>
        <w:ind/>
        <w:jc w:val="both"/>
      </w:pPr>
      <w:r>
        <w:rPr>
          <w:rFonts w:ascii="Arial" w:cs="Arial" w:eastAsia="Arial" w:hAnsi="Arial"/>
          <w:sz w:val="22"/>
          <w:szCs w:val="22"/>
        </w:rPr>
        <w:t xml:space="preserve">5. Stuart EA. Matching methods for causal inference: a review and a look forward. </w:t>
      </w:r>
      <w:r>
        <w:rPr>
          <w:rFonts w:ascii="Arial" w:cs="Arial" w:eastAsia="Arial" w:hAnsi="Arial"/>
          <w:i/>
          <w:iCs/>
          <w:sz w:val="22"/>
          <w:szCs w:val="22"/>
        </w:rPr>
        <w:t xml:space="preserve">Stat Sci.</w:t>
      </w:r>
      <w:r>
        <w:rPr>
          <w:rFonts w:ascii="Arial" w:cs="Arial" w:eastAsia="Arial" w:hAnsi="Arial"/>
          <w:sz w:val="22"/>
          <w:szCs w:val="22"/>
        </w:rPr>
        <w:t xml:space="preserve"> 2010;25(1):1-21. doi:</w:t>
      </w:r>
      <w:r>
        <w:rPr>
          <w:rFonts w:ascii="Arial" w:cs="Arial" w:eastAsia="Arial" w:hAnsi="Arial"/>
          <w:sz w:val="22"/>
          <w:szCs w:val="22"/>
        </w:rPr>
        <w:t xml:space="preserve">10.1214/09-STS313</w:t>
      </w:r>
    </w:p>
    <w:p>
      <w:pPr>
        <w:spacing w:after="0" w:line="480"/>
      </w:pPr>
    </w:p>
    <w:p>
      <w:pPr>
        <w:spacing w:after="0" w:line="360"/>
        <w:ind/>
        <w:jc w:val="both"/>
      </w:pPr>
      <w:r>
        <w:rPr>
          <w:rFonts w:ascii="Arial" w:cs="Arial" w:eastAsia="Arial" w:hAnsi="Arial"/>
          <w:sz w:val="22"/>
          <w:szCs w:val="22"/>
        </w:rPr>
        <w:t xml:space="preserve">6. Austin PC. A comparison of 12 algorithms for matching on the propensity score. </w:t>
      </w:r>
      <w:r>
        <w:rPr>
          <w:rFonts w:ascii="Arial" w:cs="Arial" w:eastAsia="Arial" w:hAnsi="Arial"/>
          <w:i/>
          <w:iCs/>
          <w:sz w:val="22"/>
          <w:szCs w:val="22"/>
        </w:rPr>
        <w:t xml:space="preserve">Stat Med.</w:t>
      </w:r>
      <w:r>
        <w:rPr>
          <w:rFonts w:ascii="Arial" w:cs="Arial" w:eastAsia="Arial" w:hAnsi="Arial"/>
          <w:sz w:val="22"/>
          <w:szCs w:val="22"/>
        </w:rPr>
        <w:t xml:space="preserve"> 2014;33(6):1057-1069. doi:</w:t>
      </w:r>
      <w:r>
        <w:rPr>
          <w:rFonts w:ascii="Arial" w:cs="Arial" w:eastAsia="Arial" w:hAnsi="Arial"/>
          <w:sz w:val="22"/>
          <w:szCs w:val="22"/>
        </w:rPr>
        <w:t xml:space="preserve">10.1002/sim.6004</w:t>
      </w:r>
    </w:p>
    <w:p>
      <w:pPr>
        <w:spacing w:after="0" w:line="480"/>
      </w:pPr>
    </w:p>
    <w:sectPr>
      <w:headerReference w:type="default" r:id="rId7"/>
      <w:footerReference w:type="default" r:id="rId8"/>
      <w:pgSz w:w="11906" w:h="16838" w:orient="portrait"/>
      <w:pgMar w:top="1440" w:right="1440" w:bottom="1440" w:left="1440" w:header="708" w:footer="708" w:gutter="0"/>
      <w:lnNumType w:countBy="1" w:restart="newPage"/>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sz w:val="18"/>
        <w:szCs w:val="18"/>
      </w:rPr>
      <w:t xml:space="preserve">HPV vaccination safety and post-surgical efficacy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2026-05-10T02:20:32.779Z</dcterms:created>
  <dcterms:modified xsi:type="dcterms:W3CDTF">2026-05-10T02:20:32.779Z</dcterms:modified>
</cp:coreProperties>
</file>

<file path=docProps/custom.xml><?xml version="1.0" encoding="utf-8"?>
<Properties xmlns="http://schemas.openxmlformats.org/officeDocument/2006/custom-properties" xmlns:vt="http://schemas.openxmlformats.org/officeDocument/2006/docPropsVTypes"/>
</file>