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Supplementary Materials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</w:t>
      </w:r>
    </w:p>
    <w:p>
      <w:pPr>
        <w:spacing w:after="0" w:line="480"/>
      </w:pPr>
    </w:p>
    <w:p>
      <w:pPr>
        <w:spacing w:after="0" w:line="480"/>
      </w:pP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S1. Pre-matching baseline characteristics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S2. Propensity-score model coefficients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S3. Sensitivity analyses for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S4. Age- and follow-up-stratified subgroup analyses (Cohort B, recurrence)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S5. Number-at-risk tables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S6. Vaccine-type detailed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S7. Schoenfeld residual test results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S8. Pseudo-index assignment sensitivity analysis (Cohort A)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S9. Dose-threshold sensitivity analysis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S10. Strict 1:4 fine-matching sensitivity analysis (Cohort B)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S11. Prescription-code vs. drug-name exposure-ascertainment cross-validation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S12. Vaccine-type recipient patterns including mixed-product recipients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S13. Landmark sensitivity analysis for post-index hr-HPV detection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S14. Vaccine-type interaction by calendar period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S15. Novel-type acquisition sensitivity analysis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S16. HPV clearance sensitivity analysis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S17. Time-stratified hr-HPV clearance hazard ratios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S18. Single-negative HPV clearance sensitivity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Table S19. Disease-free-interval sensitivity for lesion recurrence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S1. Love plot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S2. Love plot — Cohort B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S3. Propensity-score density distributions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S4. Schoenfeld residual plots — Cohort A</w:t>
      </w:r>
    </w:p>
    <w:p>
      <w:pPr>
        <w:spacing w:after="40" w:line="360"/>
        <w:jc w:val="left"/>
      </w:pPr>
      <w:r>
        <w:rPr>
          <w:rFonts w:ascii="Arial" w:cs="Arial" w:eastAsia="Arial" w:hAnsi="Arial"/>
          <w:sz w:val="20"/>
          <w:szCs w:val="20"/>
        </w:rPr>
        <w:t xml:space="preserve">Figure S5. Schoenfeld residual plots — Cohort B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S1. Pre-matching baseline characteristics of the source population before propensity-score matching (Cohort A) and before fine matching (Cohort B).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A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(n=2,156)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(n=30,813)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33.46 ± 9.18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46.90 ± 14.50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1982.32 ± 10.10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1968.93 ± 13.91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2015.73 ± 4.11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2015.77 ± 4.11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739 (34.3%)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9031 (29.3%)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161.37 ± 5.32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158.56 ± 6.63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57.50 ± 9.73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57.82 ± 9.73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23.34 ± 10.32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113.01 ± 13.22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119.72 ± 17.44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70.64 ± 10.65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74.21 ± 15.74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675 (31.3%)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6582 (21.4%)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(0.3%)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 (1.7%)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 (0.8%)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1434 (66.5%)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23885 (77.5%)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 (0.6%)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 (0.4%)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(0.0%)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(1.1%)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227 (0.7%)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2134.52 ± 1733.35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2058.48 ± 2146.15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(0.3%)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283 (0.9%)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Cohort B (pre-matching)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9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Vaccinated (n=566)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Non-vaccinated (n=6,324)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|SMD|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36.40 ± 9.40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49.31 ± 12.94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1979.96 ± 10.11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1968.29 ± 13.07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2016.32 ± 4.24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2017.53 ± 4.01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 (29.0%)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1320 (20.9%)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Anthropometry &amp; Vital signs (closest to index, ±1 yr)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161.21 ± 5.39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157.99 ± 6.51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57.47 ± 9.65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58.12 ± 9.71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22.12 ± 3.54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23.56 ± 9.25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113.21 ± 13.44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117.45 ± 15.69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72.17 ± 11.04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73.39 ± 11.73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 (36.6%)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3380 (53.4%)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(0.5%)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 (0.5%)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 (3.0%)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146 (2.3%)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339 (59.9%)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2767 (43.8%)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Pre-existing comorbidities (before index)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(0.9%)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 (2.1%)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154 (2.4%)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(0.2%)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(0.1%)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(1.6%)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262 (4.1%)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type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Conization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545 (96.3%)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4965 (78.5%)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 (3.7%)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1359 (21.5%)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36.81 ± 9.41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48.67 ± 12.91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2016.72 ± 4.22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2016.89 ± 3.87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-149.37 ± 954.96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232.33 ± 381.31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2082.03 ± 1615.73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1623.30 ± 1491.23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&lt;0.001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(0.2%)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 (1.2%)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Abbreviations: BMI, body-mass index; BP, blood pressure; SMD, standardised mean difference.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S2. Logistic regression coefficients for propensity score estimation (Cohort A).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1200"/>
        <w:gridCol w:w="1200"/>
        <w:gridCol w:w="12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Covariate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(Vac)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(Non-vac)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Std β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age_at_index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33.51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-0.0781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-1.1427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0.925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22.71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-0.0218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-0.0867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bmi_miss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1.047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115.95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118.72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-0.0481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-0.7555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-0.2943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-0.0005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-0.0031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dbp_miss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-0.7906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-0.3078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0.454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is_seoul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1.029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smoke_Never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1.896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smoke_Former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1.557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smoke_Current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1.670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Reference category for smoking: Unknown. OR, odds ratio.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S3. Sensitivity analyses for Cohort B (age-adjusted Cox models).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Lesion recurrence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200"/>
        <w:gridCol w:w="1200"/>
      </w:tblGrid>
      <w:tr>
        <w:tc>
          <w:tcPr>
            <w:tcW w:type="dxa" w:w="2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Events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(0.41–1.40)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(0.33–1.59)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885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(0.29–1.74)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0.457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(2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0.60 (0.27–1.37)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0.226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(3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0.81 (0.40–1.64)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0.559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(5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 (0.41–1.47)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(0.33–1.59)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 (0.29–1.74)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0.457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HPV reinfection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200"/>
        <w:gridCol w:w="1200"/>
      </w:tblGrid>
      <w:tr>
        <w:tc>
          <w:tcPr>
            <w:tcW w:type="dxa" w:w="2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Events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 (0.77–1.11)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0.400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 (0.95–1.53)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(365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 (0.84–1.62)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(2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 (0.72–1.09)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(3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 (0.73–1.09)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0.249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Restricted FU (5 years)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 (0.76–1.11)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180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1.19 (0.94–1.51)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0.153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Exclude Early (Exclude events before 365 days)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1.17 (0.84–1.62)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0.353</w:t>
            </w:r>
          </w:p>
        </w:tc>
      </w:tr>
    </w:tbl>
    <w:p>
      <w:pPr>
        <w:spacing w:after="0" w:line="480"/>
      </w:pP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FU, follow-up.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S4. Exploratory subgroup analyses of lesion recurrence by age group and follow-up duration (Cohort B).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700"/>
        <w:gridCol w:w="700"/>
        <w:gridCol w:w="2200"/>
        <w:gridCol w:w="12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Stratum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(Vac)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(Ctl)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 (0.35–1.76)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 (0.28–1.38)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 (0.37–1.39)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ages,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 (0.13–2.58)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0.468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 (0.10–1.88)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0.262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 (0.15–1.54)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0.215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&lt;40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 (0.27–1.77)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 (0.03–1.92)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0.182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0.22 (0.03–1.69)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0.54 (0.18–1.66)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0.285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40–49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 (0.15–1.39)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1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4.11 (0.95–17.84)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2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(0.70–9.72)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4 yr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2.60 (0.70–9.72)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≥50 years, Full follow-up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 (0.93–11.22)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0.065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Ev, events; Vac, vaccinated; Ctl, control; HR, hazard ratio; CI, confidence interval. Age-adjusted Cox models with cluster-robust standard errors.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S5. Number at risk at yearly intervals for survival curve analyses.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Group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 yr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Any-of-5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MCE (MI/Stroke/PE)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Angina/MI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928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647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Hypertension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1654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1523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1331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Diabetes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1771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Stroke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1533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– PE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1661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1518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Lesion recurrence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Post-index hr-HPV detection (sensitivity)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Post-index hr-HPV detection (sensitivity)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hr-HPV clearance (pre-vaccine HPV+)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Vac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 – hr-HPV clearance (pre-vaccine HPV+)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Ctl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Vac, vaccinated; Ctl, control/non-vaccinated.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S6. Vaccine-type detailed results: pairwise subgroup hazard ratios and interaction-model results (Cohort B).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A. Pairwise subgroup analysis</w:t>
      </w:r>
    </w:p>
    <w:tbl>
      <w:tblPr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600"/>
        <w:gridCol w:w="600"/>
        <w:gridCol w:w="600"/>
        <w:gridCol w:w="2200"/>
        <w:gridCol w:w="1200"/>
      </w:tblGrid>
      <w:tr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 (Outcome)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(0.24–1.60)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0.3173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1.13 (0.45–2.85)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0.7882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(recurrence)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(0.17–3.49)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0.7262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(0.72–1.16)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0.4344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(0.93–1.74)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0.1255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 (hpv)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 (0.21–0.75)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B. Interaction model (likelihood-ratio test)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00"/>
        <w:gridCol w:w="800"/>
        <w:gridCol w:w="1500"/>
        <w:gridCol w:w="1500"/>
        <w:gridCol w:w="15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LRT χ²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9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Cervarix HR (95% CI)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HR (95% CI)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 (≥CIN2)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χ²=0.64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 (0.23–1.71)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1.07 (0.43–2.68)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(0.16–3.33)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hr-HPV clearance (pre-vaccine HPV+)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χ²=1.73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0.4217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 (0.44–2.02)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1.52 (0.79–2.89)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1.94 (0.78–4.84)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Post-index hr-HPV detection (sensitivity)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χ²=11.27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(0.71–1.18)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1.24 (0.91–1.69)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 (0.21–0.76)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LRT, likelihood-ratio test. Reference category for vaccine type: Gardasil 9 (nonavalent). Ev, events; Vac, vaccinated; Ctl,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S7. Proportional-hazards assumption assessment by Schoenfeld residual rank test.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200"/>
        <w:gridCol w:w="1200"/>
        <w:gridCol w:w="12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Cohort</w:t>
            </w:r>
          </w:p>
        </w:tc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 (HR)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Schoenfeld 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 (cause-specific)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(0.53–4.18)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MCE, Major Cardiovascular Events. "—" indicates test not performed (insufficient events). Cluster-robust standard errors used throughout.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S8. Pseudo-index assignment sensitivity analysis for the Any-of-five composite (Cohort A).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600"/>
        <w:gridCol w:w="600"/>
        <w:gridCol w:w="600"/>
        <w:gridCol w:w="2200"/>
        <w:gridCol w:w="1000"/>
      </w:tblGrid>
      <w:tr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Strategy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Ctl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Vac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Ctl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1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Random sample (primary)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0.377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Time-matched (calendar year)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1.27 (0.75–2.15)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Risk-set sampling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1.21 (0.55–2.66)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Vac, vaccinated; Ctl,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S9. Dose-threshold sensitivity analysis: hazard ratios under ≥1, ≥2, and ≥3 (complete schedule) dose definitions for both cohorts.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Cohort A (entire cohort)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8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Doses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1715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1.37 (0.80–2.36)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0.250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Any-of-5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 (0.79–2.41)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1.96 (0.31–12.46)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1.90 (0.30–11.94)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0.495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MCE composite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2039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1.33 (0.72–2.47)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Diabetes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 (0.68–2.42)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 (0.53–4.19)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1.80 (0.56–5.74)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0.323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1.72 (0.54–5.48)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2053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Angina/MI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(–)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Cohort B (surgical cohort)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8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Doses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0.74 (0.39–1.39)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0.349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 (0.30–1.24)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≥1 dose (primary)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(0.76–1.08)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0.272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≥2 doses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 (0.78–1.11)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0.428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≥3 doses (complete)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 (0.78–1.14)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0.558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All models use cluster-robust standard errors. Cohort A models are cause-specific; Cohort B models are age-adjusted.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S10. Strict 1:4 fine-matching sensitivity analysis for Cohort B primary outcomes.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Design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variable-ratio (1:up-to-4, 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Lesion recurrence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strict 1:4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 (0.36–1.41)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0.339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variable-ratio (1:up-to-4, 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(0.76–1.08)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0.272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 reinfection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strict 1:4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 (0.72–1.06)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0.166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The strict 1:4 design retained only vaccinated cases with exactly four matched controls. Detectable HR at 80% power is shown for each design.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S11. Prescription-code vs. drug-name exposure-ascertainment cross-validation.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c>
          <w:tcPr>
            <w:tcW w:type="dxa" w:w="4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Ascertainment method</w:t>
            </w:r>
          </w:p>
        </w:tc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Patients identified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 match (current)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2156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 match (codes seen in name-matched rows)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2156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intersection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2156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name-only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code-only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Name match used Korean and English brand names; code match used institution-specific drug-code prefixes. The two methods identified an identical set of 2,156 women (concordance 100%), with no name-only or code-only exposures.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S12. Vaccine-type recipient patterns including mixed-product recipients.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c>
          <w:tcPr>
            <w:tcW w:type="dxa" w:w="4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 pattern</w:t>
            </w:r>
          </w:p>
        </w:tc>
        <w:tc>
          <w:tcPr>
            <w:tcW w:type="dxa" w:w="20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Single: Gardasil9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892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Single: Cervarix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859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Single: Gardasil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Mixed: Gardasil9+Gardasil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Mixed: Gardasil9+Cervarix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Mixed: Gardasil+Cervarix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__ANY mixed (&gt;1 type)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__first ≠ last vaccine type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For vaccine-type subgroup analyses, women who received more than one product were attributed by first-administered dose. Reclassification by last dose changed the assignment for these 33 women only and did not alter inferences.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S13. Landmark sensitivity analysis for the post-index hr-HPV detection outcome (Cohort B).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Landmark (days)</w:t>
            </w:r>
          </w:p>
        </w:tc>
        <w:tc>
          <w:tcPr>
            <w:tcW w:type="dxa" w:w="2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Primary (any post-index detection)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 (0.76–1.08)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0.272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6 months (likely persistent)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1.18 (0.94–1.48)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0.149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365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12 months (clearance window)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1.15 (0.84–1.57)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Landmark 24 months (true new acquisition)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1.08 (0.74–1.57)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0.698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Ev, events; V, vaccinated; C, control. In each landmark analysis, women with a positive hr-HPV record before the landmark and women whose follow-up ended before the landmark were excluded. The shift from HR &lt; 1 (primary) to HR &gt; 1 (landmark) suggests that the primary estimate is driven by faster clearance of pre-surgical viral DNA in the vaccinated arm rather than protection against new acquisition.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S14. Vaccine-type interaction analysis stratified by calendar period for the hr-HPV clearance outcome (Cohort B).</w:t>
      </w: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A. Distribution of vaccine product by index year and surgery-to-vaccination interval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"/>
        <w:gridCol w:w="1200"/>
        <w:gridCol w:w="1200"/>
        <w:gridCol w:w="1200"/>
        <w:gridCol w:w="1400"/>
        <w:gridCol w:w="1400"/>
      </w:tblGrid>
      <w:tr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Vaccine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Median index yr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 yr</w:t>
            </w:r>
          </w:p>
        </w:tc>
        <w:tc>
          <w:tcPr>
            <w:tcW w:type="dxa" w:w="1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Max yr</w:t>
            </w:r>
          </w:p>
        </w:tc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Median S→V (d)</w:t>
            </w:r>
          </w:p>
        </w:tc>
        <w:tc>
          <w:tcPr>
            <w:tcW w:type="dxa" w:w="1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S→V (d)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Cervarix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2013.0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2019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148.4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2014.0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167.7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Gardasil9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265.1</w:t>
            </w:r>
          </w:p>
        </w:tc>
      </w:tr>
    </w:tbl>
    <w:p>
      <w:pPr>
        <w:spacing w:after="0" w:line="480"/>
      </w:pPr>
    </w:p>
    <w:p>
      <w:pPr>
        <w:spacing w:after="6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B. Likelihood-ratio test for vaccine-type heterogeneity by calendar stratum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"/>
        <w:gridCol w:w="400"/>
        <w:gridCol w:w="400"/>
        <w:gridCol w:w="700"/>
        <w:gridCol w:w="600"/>
        <w:gridCol w:w="1500"/>
        <w:gridCol w:w="1500"/>
        <w:gridCol w:w="15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Stratum</w:t>
            </w:r>
          </w:p>
        </w:tc>
        <w:tc>
          <w:tcPr>
            <w:tcW w:type="dxa" w:w="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G9</w:t>
            </w:r>
          </w:p>
        </w:tc>
        <w:tc>
          <w:tcPr>
            <w:tcW w:type="dxa" w:w="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Cv</w:t>
            </w:r>
          </w:p>
        </w:tc>
        <w:tc>
          <w:tcPr>
            <w:tcW w:type="dxa" w:w="4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G4</w:t>
            </w:r>
          </w:p>
        </w:tc>
        <w:tc>
          <w:tcPr>
            <w:tcW w:type="dxa" w:w="7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LRT χ²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9 HR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Cervarix HR</w:t>
            </w:r>
          </w:p>
        </w:tc>
        <w:tc>
          <w:tcPr>
            <w:tcW w:type="dxa" w:w="15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Gardasil HR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clearance subset (primary)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 (0.44–2.02)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1.52 (0.79–2.89)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1.94 (0.78–4.84)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 ≤ 2015 (Gardasil-4v era)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 2016–2018 (mixed era)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1.94 (0.44–8.66)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 (0.00–inf)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3.57 (0.64–19.84)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Index year ≥ 2019 (Gardasil-9v era)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LRT, likelihood-ratio test; G9, Gardasil 9 (nonavalent); Cv, Cervarix (bivalent); G4, Gardasil (quadrivalent); S→V, surgery-to-vaccination interval in days. "—" indicates insufficient representation of all three vaccine products in the stratum. The 2016–2018 stratum is the only calendar window in which all three products co-existed.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S15. Novel-type acquisition sensitivity analysis (Cohort B).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Novel hr-HPV type (any post-index type not in pre-vaccine set)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1.21 (0.87–1.69)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0.248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Novel + 6-month landmark (pre-vaccine baseline)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1.51 (1.06–2.15)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Novel + 12-month landmark (pre-vaccine baseline)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1.72 (1.14–2.59)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Novel-type acquisition was defined as the first post-index detection of an hr-HPV type not present in the pre-surgery type set. Patients without any pre-vaccine molecular pathology record were excluded. Landmark variants advanced the at-risk clock to exclude early detections. HR &lt; 1 indicates a favourable vaccine effect. HR, hazard ratio; CI, confidence interval; Ev, events; V, vaccinated; C,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S16. HPV clearance sensitivity analysis among women with documented pre-surgery hr-HPV positivity (Cohort B).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C1. Any-clearance (pre-vaccine hr-HPV+ baseline)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1.23 (0.89–1.72)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C2. HPV-16 clearance (pre-vaccine 16+ baseline)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1.07 (0.76–1.51)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0.678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C3. HPV-18 clearance (pre-vaccine 18+ baseline)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 (0.61–1.32)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0.585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Clearance was defined as the first post-index molecular pathology record explicitly negative for high-risk HPV, restricted to women with at least one positive record before the index date. HR &gt; 1 indicates faster clearance in the vaccinated arm (favourable direction). HR, hazard ratio; CI, confidence interval; Ev, events; V, vaccinated; C,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S17. Time-stratified hr-HPV clearance hazard ratios decomposed by post-index window (Cohort B).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0"/>
        <w:gridCol w:w="6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18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Period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From (d)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 (d)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Overall (full follow-up)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1.40 (0.92–2.11)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0–6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180.0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 (0.37–1.41)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0.349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6–12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365.0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3.19 (1.44–7.09)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12–24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730.0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 (0.22–2.72)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24+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730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4.20 (0.73–24.14)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Clearance was defined as two consecutive post-index hr-HPV-negative records. Time-stratified hazard ratios were estimated from piecewise Cox models. HR &gt; 1 indicates faster clearance in the vaccinated arm (favourable direction). The 6–12 month window coincides with the expected timing of HPV-vaccine antibody maturation. HR, hazard ratio; CI, confidence interval; Ev, events; V, vaccinated; C, control; d, days.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S18. Single-negative HPV clearance sensitivity — alternative event definition using the first single post-index hr-HPV-negative record, compared with the two-consecutive-negative primary definition (Cohort B).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 negative test (sensitivity)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1.23 (0.89–1.72)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0.214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Two consecutive negatives (primary)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1.40 (0.92–2.11)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0.114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 &gt; 1 indicates faster clearance in the vaccinated arm (favourable direction). The two-consecutive-negative definition was used as the primary co-primary outcome; the single-negative definition is reported as a sensitivity analysis. HR, hazard ratio; CI, confidence interval; Ev, events; V, vaccinated; C,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Table S19. Disease-free-interval sensitivity for lesion recurrence — minimum buffer from the index date before counting a recurrence event (Cohort B).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"/>
        <w:gridCol w:w="600"/>
        <w:gridCol w:w="600"/>
        <w:gridCol w:w="600"/>
        <w:gridCol w:w="2200"/>
        <w:gridCol w:w="900"/>
      </w:tblGrid>
      <w:tr>
        <w:tc>
          <w:tcPr>
            <w:tcW w:type="dxa" w:w="3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V</w:t>
            </w:r>
          </w:p>
        </w:tc>
        <w:tc>
          <w:tcPr>
            <w:tcW w:type="dxa" w:w="6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 C</w:t>
            </w:r>
          </w:p>
        </w:tc>
        <w:tc>
          <w:tcPr>
            <w:tcW w:type="dxa" w:w="22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(95% CI)</w:t>
            </w:r>
          </w:p>
        </w:tc>
        <w:tc>
          <w:tcPr>
            <w:tcW w:type="dxa" w:w="900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Primary (no minimum disease-free interval)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disease-free interval ≥3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0.88 (0.44–1.76)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0.724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disease-free interval ≥6 months (S19)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 (0.41–1.78)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0.677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Minimum disease-free interval ≥12 months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0.82 (0.34–1.97)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0.657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HR &lt; 1 indicates a favourable vaccine effect. Minimum disease-free intervals of 3, 6, and 12 months were applied to ensure that only true recurrences (rather than residual disease) were counted. HR, hazard ratio; CI, confidence interval; Ev, events; V, vaccinated; C, control.</w:t>
      </w: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Love plot showing absolute standardised mean differences before and after propensity-score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3505200"/>
            <wp:effectExtent t="0" r="0" b="0" l="0"/>
            <wp:docPr id="1" name="SupFigS1_loveplot_cohortA.png" descr="SupFigS1_loveplot_cohortA.png" title="SupFigS1_loveplot_cohor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Love plot showing absolute standardised mean differences before and after fine matching (Cohort B).</w:t>
      </w:r>
    </w:p>
    <w:p>
      <w:pPr>
        <w:spacing w:after="120" w:line="24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SupFigS2_loveplot_cohortB.png" descr="SupFigS2_loveplot_cohortB.png" title="SupFigS2_loveplot_cohort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Propensity-score density distributions before and after 1:1 nearest-neighbour matching (Cohort A).</w:t>
      </w:r>
    </w:p>
    <w:p>
      <w:pPr>
        <w:spacing w:after="120" w:line="240"/>
        <w:jc w:val="center"/>
      </w:pPr>
      <w:r>
        <w:drawing>
          <wp:inline distT="0" distB="0" distL="0" distR="0">
            <wp:extent cx="5238750" cy="2085975"/>
            <wp:effectExtent t="0" r="0" b="0" l="0"/>
            <wp:docPr id="1" name="SupFigS3_ps_density.png" descr="SupFigS3_ps_density.png" title="SupFigS3_ps_dens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Scaled Schoenfeld residual plots for the Cohort A (entire cohort)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(a) Any-of-five composite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0.png" descr="PH_check_A_0.png" title="PH_check_A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(b) Diabetes mellitus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A_1.png" descr="PH_check_A_1.png" title="PH_check_A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The solid line represents the locally weighted scatterplot smoother (LOESS) of the scaled Schoenfeld residuals; the dashed horizontal line indicates the expected value under proportional hazards. A non-random pattern would suggest time-varying coefficients.</w:t>
      </w:r>
    </w:p>
    <w:p>
      <w:pPr>
        <w:spacing w:after="0" w:line="480"/>
      </w:pPr>
    </w:p>
    <w:p>
      <w:pPr>
        <w:pageBreakBefore/>
        <w:spacing w:after="120" w:line="36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Scaled Schoenfeld residual plots for the Cohort B (surgical cohort) primary models.</w:t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(a) Lesion recurrence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28975"/>
            <wp:effectExtent t="0" r="0" b="0" l="0"/>
            <wp:docPr id="1" name="PH_check_B_has_recurrence.png" descr="PH_check_B_has_recurrence.png" title="PH_check_B_has_recur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(b) Post-index hr-HPV detection (vaccination covariate)</w:t>
      </w:r>
    </w:p>
    <w:p>
      <w:pPr>
        <w:spacing w:after="120" w:line="240"/>
        <w:jc w:val="center"/>
      </w:pPr>
      <w:r>
        <w:drawing>
          <wp:inline distT="0" distB="0" distL="0" distR="0">
            <wp:extent cx="4286250" cy="3257550"/>
            <wp:effectExtent t="0" r="0" b="0" l="0"/>
            <wp:docPr id="1" name="PH_check_B_has_hpv_infection.png" descr="PH_check_B_has_hpv_infection.png" title="PH_check_B_has_hpv_inf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2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The solid line represents the LOESS smoother of the scaled Schoenfeld residuals. The Schoenfeld rank test p-values were 0.59 (recurrence) and 0.12 (hr-HPV detection), indicating no evidence against the proportional-hazards assumption.</w:t>
      </w:r>
    </w:p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t xml:space="preserve">S-</w:t>
    </w: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Supplementary Materials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a459b3757c96c919ea8ca1bb910fe976806247.png"/><Relationship Id="rId10" Type="http://schemas.openxmlformats.org/officeDocument/2006/relationships/image" Target="media/65efaafa2ad9b2a4acf96ccb0f261b1d43fbb63d.png"/><Relationship Id="rId11" Type="http://schemas.openxmlformats.org/officeDocument/2006/relationships/image" Target="media/cb81433be28caba4d1501073a4053e5ac410be10.png"/><Relationship Id="rId12" Type="http://schemas.openxmlformats.org/officeDocument/2006/relationships/image" Target="media/233275bfdf36d1139636fa2f6c795209fd4f1a1d.png"/><Relationship Id="rId13" Type="http://schemas.openxmlformats.org/officeDocument/2006/relationships/image" Target="media/30240ca426be0d1a00eb01989d8e842200078ced.png"/><Relationship Id="rId14" Type="http://schemas.openxmlformats.org/officeDocument/2006/relationships/image" Target="media/b05ab2029013e0d9ee8dca080d5d1cc25dba634e.png"/><Relationship Id="rId15" Type="http://schemas.openxmlformats.org/officeDocument/2006/relationships/image" Target="media/5f36067b09e374a03bf62116969063fde553f01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2026-05-10T02:20:42.588Z</dcterms:created>
  <dcterms:modified xsi:type="dcterms:W3CDTF">2026-05-10T02:20:42.588Z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