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Tables and Figures</w:t>
      </w:r>
    </w:p>
    <w:p>
      <w:pPr>
        <w:spacing w:after="0" w:line="480"/>
      </w:pPr>
    </w:p>
    <w:p>
      <w:pPr>
        <w:spacing w:after="0" w:line="36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Long-term safety and post-surgical efficacy of HPV vaccination in women with cervical intraepithelial lesions: a prospective–retrospective cohort study using Korean clinical data warehouse</w:t>
      </w:r>
    </w:p>
    <w:p>
      <w:pPr>
        <w:spacing w:after="0" w:line="480"/>
      </w:pPr>
    </w:p>
    <w:p>
      <w:pPr>
        <w:spacing w:after="0" w:line="480"/>
      </w:pPr>
    </w:p>
    <w:p>
      <w:pPr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1.</w:t>
      </w:r>
      <w:r>
        <w:rPr>
          <w:rFonts w:ascii="Arial" w:cs="Arial" w:eastAsia="Arial" w:hAnsi="Arial"/>
          <w:sz w:val="22"/>
          <w:szCs w:val="22"/>
        </w:rPr>
        <w:t xml:space="preserve"> Baseline characteristics of the analytic cohorts after matching</w:t>
      </w:r>
    </w:p>
    <w:p>
      <w:pPr>
        <w:spacing w:after="0" w:line="120"/>
      </w:pP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00"/>
        <w:gridCol w:w="2400"/>
        <w:gridCol w:w="1200"/>
      </w:tblGrid>
      <w:tr>
        <w:tc>
          <w:tcPr>
            <w:tcW w:type="dxa" w:w="3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Characteristic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Vaccinated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Unvaccinated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SMD</w:t>
            </w:r>
          </w:p>
        </w:tc>
      </w:tr>
      <w:tr>
        <w:tc>
          <w:tcPr>
            <w:tcW w:type="dxa" w:w="3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(a) Entire cohort (Cohort A; propensity-score matched, 1:1)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Vaccinated (n = 2,052)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Unvaccinated (n = 2,052)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SMD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33.73 ± 9.14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33.55 ± 11.46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0.018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1982.04 ± 10.06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1981.29 ± 11.21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0.071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2015.73 ± 4.12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2014.79 ± 3.81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0.238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714 (34.8%)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708 (34.5%)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0.006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Anthropometry and vital signs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161.36 ± 5.33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160.63 ± 5.34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0.136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57.58 ± 9.81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56.87 ± 10.12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0.071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22.15 ± 3.56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22.06 ± 3.69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0.024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113.36 ± 13.26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112.64 ± 15.01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0.051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70.86 ± 10.70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70.44 ± 11.03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629 (30.6%)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624 (30.4%)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0.005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 (0.4%)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(0.3%)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0.016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31 (1.5%)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35 (1.7%)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0.015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1384 (67.4%)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1387 (67.6%)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Pre-existing comorbidities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Angina pectoris/MI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 (0.4%)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 (0.2%)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 (0.7%)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(0.5%)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0.026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(1.1%)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 (0.7%)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0.041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2195.52 ± 1721.94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2725.86 ± 1581.00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0.321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 (0.2%)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(1.1%)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0.107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(b) Surgical cohort (Cohort B; fine-matched, variable ratio up to 1:4)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Vaccinated (n = 241)</w:t>
            </w:r>
          </w:p>
        </w:tc>
        <w:tc>
          <w:tcPr>
            <w:tcW w:type="dxa" w:w="24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Unvaccinated (n = 868)</w:t>
            </w:r>
          </w:p>
        </w:tc>
        <w:tc>
          <w:tcPr>
            <w:tcW w:type="dxa" w:w="12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SMD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Demographics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Age at index, years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37.26 ± 9.45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37.17 ± 8.53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Birth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1979.56 ± 10.22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1979.57 ± 9.43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Index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2016.76 ± 3.82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2016.69 ± 3.74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0.019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Residence in Seoul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66 (27.4%)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257 (29.6%)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0.050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Anthropometry and vital signs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Height, cm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160.38 ± 4.95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160.97 ± 5.43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0.113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Weight, kg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57.14 ± 9.11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57.14 ± 9.39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BMI, kg/m²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22.19 ± 3.52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22.15 ± 3.44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Systolic BP, mmHg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113.43 ± 13.03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112.72 ± 13.74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0.053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Diastolic BP, mmHg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72.06 ± 10.53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71.31 ± 11.83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0.067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Smoking status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Never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 (45.6%)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379 (43.7%)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Former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(0.7%)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0.118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Current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(4.1%)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29 (3.3%)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0.042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Unknown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121 (50.2%)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453 (52.2%)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0.041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Pre-existing comorbidities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Angina pectoris/MI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(1.7%)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(0.7%)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0.090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(1.2%)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 (1.3%)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0.002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Composite (any of 5)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(2.9%)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 (1.7%)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0.078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Surgical procedure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Conisation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240 (99.6%)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861 (99.3%)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0.037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Hysterectomy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(0.4%)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 (0.7%)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0.037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Age at surgery, years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36.68 ± 9.27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36.75 ± 8.51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0.009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Surgery year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2016.18 ± 3.79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2016.27 ± 3.72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0.023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Surgery → index, days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213.25 ± 380.70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153.59 ± 209.66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0.194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Follow-up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Follow-up, days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2233.95 ± 1404.53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2236.13 ± 1351.73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0.002</w:t>
            </w:r>
          </w:p>
        </w:tc>
      </w:tr>
      <w:tr>
        <w:tc>
          <w:tcPr>
            <w:tcW w:type="dxa" w:w="3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Mortality during follow-up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 (0.0%)</w:t>
            </w:r>
          </w:p>
        </w:tc>
        <w:tc>
          <w:tcPr>
            <w:tcW w:type="dxa" w:w="24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(0.5%)</w:t>
            </w:r>
          </w:p>
        </w:tc>
        <w:tc>
          <w:tcPr>
            <w:tcW w:type="dxa" w:w="12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0.096</w:t>
            </w:r>
          </w:p>
        </w:tc>
      </w:tr>
    </w:tbl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Data are presented as mean ± SD or n (%). Covariate balance was assessed using absolute SMD; values below 0.10 indicate adequate balance. P-values are not reported for matched comparisons because SMD is the preferred balance diagnostic.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SMD, standardised mean difference; BMI, body mass index; SBP, systolic blood pressure; DBP, diastolic blood pressure; MI, myocardial infarction.</w:t>
      </w:r>
    </w:p>
    <w:p>
      <w:pPr>
        <w:pageBreakBefore/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2.</w:t>
      </w:r>
      <w:r>
        <w:rPr>
          <w:rFonts w:ascii="Arial" w:cs="Arial" w:eastAsia="Arial" w:hAnsi="Arial"/>
          <w:sz w:val="22"/>
          <w:szCs w:val="22"/>
        </w:rPr>
        <w:t xml:space="preserve"> Cause-specific and subdistribution hazard ratios for chronic-disease endpoints in the entire cohort (Cohort A, N = 4,102)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650"/>
        <w:gridCol w:w="650"/>
        <w:gridCol w:w="850"/>
        <w:gridCol w:w="850"/>
        <w:gridCol w:w="650"/>
        <w:gridCol w:w="650"/>
        <w:gridCol w:w="1800"/>
        <w:gridCol w:w="1800"/>
      </w:tblGrid>
      <w:tr>
        <w:tc>
          <w:tcPr>
            <w:tcW w:type="dxa" w:w="16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Outcome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Ev (V)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Ev (C)</w:t>
            </w:r>
          </w:p>
        </w:tc>
        <w:tc>
          <w:tcPr>
            <w:tcW w:type="dxa" w:w="8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PY (V)</w:t>
            </w:r>
          </w:p>
        </w:tc>
        <w:tc>
          <w:tcPr>
            <w:tcW w:type="dxa" w:w="8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PY (C)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IR (V)</w:t>
            </w:r>
          </w:p>
        </w:tc>
        <w:tc>
          <w:tcPr>
            <w:tcW w:type="dxa" w:w="65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IR (C)</w:t>
            </w:r>
          </w:p>
        </w:tc>
        <w:tc>
          <w:tcPr>
            <w:tcW w:type="dxa" w:w="1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csHR (95% CI)</w:t>
            </w:r>
          </w:p>
        </w:tc>
        <w:tc>
          <w:tcPr>
            <w:tcW w:type="dxa" w:w="18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sHR (95% CI)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Angina pectoris/MI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12,324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15,317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Hypertension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12,246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15,266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1.49 (0.53–4.19)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1.50 (0.54–4.14)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Diabetes mellitus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12,201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15,190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1.7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1.4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1.25 (0.68–2.28)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1.25 (0.69–2.28)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Stroke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12,341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15,322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Pulmonary embolism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12,341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15,320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MCE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3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2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12,324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15,315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0.2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0.1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1.96 (0.31–12.46)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1.95 (0.33–11.71)</w:t>
            </w:r>
          </w:p>
        </w:tc>
      </w:tr>
      <w:tr>
        <w:tc>
          <w:tcPr>
            <w:tcW w:type="dxa" w:w="16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Any of five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29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30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12,106</w:t>
            </w:r>
          </w:p>
        </w:tc>
        <w:tc>
          <w:tcPr>
            <w:tcW w:type="dxa" w:w="8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15,130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2.4</w:t>
            </w:r>
          </w:p>
        </w:tc>
        <w:tc>
          <w:tcPr>
            <w:tcW w:type="dxa" w:w="65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2.0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1.26 (0.75–2.12)</w:t>
            </w:r>
          </w:p>
        </w:tc>
        <w:tc>
          <w:tcPr>
            <w:tcW w:type="dxa" w:w="18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1.27 (0.76–2.12)</w:t>
            </w:r>
          </w:p>
        </w:tc>
      </w:tr>
    </w:tbl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All hazard ratios were estimated with cluster-robust standard errors. The competing event for the subdistribution model was death from any cause (n = 28). Estimates were not computed when fewer than three events occurred in either group (—).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Ev, events; PY, person-years; IR, incidence rate per 1,000 person-years; csHR, cause-specific hazard ratio; sHR, subdistribution hazard ratio (Fine–Gray); MI, myocardial infarction; MCE, major cardiovascular event (myocardial infarction, stroke, or pulmonary embolism); V, vaccinated; C, unvaccinated control.</w:t>
      </w:r>
    </w:p>
    <w:p>
      <w:pPr>
        <w:pageBreakBefore/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Table 3.</w:t>
      </w:r>
      <w:r>
        <w:rPr>
          <w:rFonts w:ascii="Arial" w:cs="Arial" w:eastAsia="Arial" w:hAnsi="Arial"/>
          <w:sz w:val="22"/>
          <w:szCs w:val="22"/>
        </w:rPr>
        <w:t xml:space="preserve"> Age-adjusted hazard ratios for co-primary and sensitivity outcomes in the surgical cohort (Cohort B)</w:t>
      </w:r>
    </w:p>
    <w:tbl>
      <w:tblPr>
        <w:tblW w:type="dxa" w:w="8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00"/>
        <w:gridCol w:w="500"/>
        <w:gridCol w:w="500"/>
        <w:gridCol w:w="500"/>
        <w:gridCol w:w="2200"/>
        <w:gridCol w:w="700"/>
      </w:tblGrid>
      <w:tr>
        <w:tc>
          <w:tcPr>
            <w:tcW w:type="dxa" w:w="32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Outcome</w:t>
            </w:r>
          </w:p>
        </w:tc>
        <w:tc>
          <w:tcPr>
            <w:tcW w:type="dxa" w:w="5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n (V)</w:t>
            </w:r>
          </w:p>
        </w:tc>
        <w:tc>
          <w:tcPr>
            <w:tcW w:type="dxa" w:w="5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n (C)</w:t>
            </w:r>
          </w:p>
        </w:tc>
        <w:tc>
          <w:tcPr>
            <w:tcW w:type="dxa" w:w="5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Ev (V)</w:t>
            </w:r>
          </w:p>
        </w:tc>
        <w:tc>
          <w:tcPr>
            <w:tcW w:type="dxa" w:w="5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Ev (C)</w:t>
            </w:r>
          </w:p>
        </w:tc>
        <w:tc>
          <w:tcPr>
            <w:tcW w:type="dxa" w:w="22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(95% CI)</w:t>
            </w:r>
          </w:p>
        </w:tc>
        <w:tc>
          <w:tcPr>
            <w:tcW w:type="dxa" w:w="700"/>
            <w:gridSpan w:val="1"/>
            <w:tcBorders>
              <w:top w:val="single" w:color="000000" w:sz="1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</w:t>
            </w:r>
          </w:p>
        </w:tc>
      </w:tr>
      <w:tr>
        <w:tc>
          <w:tcPr>
            <w:tcW w:type="dxa" w:w="3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P1. Lesion recurrence (HSIL/CIN3+)  [HR&lt;1 favourable]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241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867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2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0.80 (0.44–1.43)</w:t>
            </w:r>
          </w:p>
        </w:tc>
        <w:tc>
          <w:tcPr>
            <w:tcW w:type="dxa" w:w="7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0.445</w:t>
            </w:r>
          </w:p>
        </w:tc>
      </w:tr>
      <w:tr>
        <w:tc>
          <w:tcPr>
            <w:tcW w:type="dxa" w:w="32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P2. hr-HPV clearance (two consecutive negatives)  [HR&gt;1 favourable]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22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1.40 (0.92–2.11)</w:t>
            </w:r>
          </w:p>
        </w:tc>
        <w:tc>
          <w:tcPr>
            <w:tcW w:type="dxa" w:w="7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0.114</w:t>
            </w:r>
          </w:p>
        </w:tc>
      </w:tr>
      <w:tr>
        <w:tc>
          <w:tcPr>
            <w:tcW w:type="dxa" w:w="3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S1. Novel-type acquisition  [HR&lt;1 favourable]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206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583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46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107</w:t>
            </w:r>
          </w:p>
        </w:tc>
        <w:tc>
          <w:tcPr>
            <w:tcW w:type="dxa" w:w="2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1.21 (0.87–1.69)</w:t>
            </w:r>
          </w:p>
        </w:tc>
        <w:tc>
          <w:tcPr>
            <w:tcW w:type="dxa" w:w="7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0.248</w:t>
            </w:r>
          </w:p>
        </w:tc>
      </w:tr>
      <w:tr>
        <w:tc>
          <w:tcPr>
            <w:tcW w:type="dxa" w:w="3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S2. HPV-16 clearance (pre-index 16+)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</w:t>
            </w:r>
          </w:p>
        </w:tc>
        <w:tc>
          <w:tcPr>
            <w:tcW w:type="dxa" w:w="22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1.07 (0.76–1.51)</w:t>
            </w:r>
          </w:p>
        </w:tc>
        <w:tc>
          <w:tcPr>
            <w:tcW w:type="dxa" w:w="7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0.678</w:t>
            </w:r>
          </w:p>
        </w:tc>
      </w:tr>
      <w:tr>
        <w:tc>
          <w:tcPr>
            <w:tcW w:type="dxa" w:w="32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S3. HPV-18 clearance (pre-index 18+)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57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22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0.90 (0.61–1.32)</w:t>
            </w:r>
          </w:p>
        </w:tc>
        <w:tc>
          <w:tcPr>
            <w:tcW w:type="dxa" w:w="700"/>
            <w:gridSpan w:val="1"/>
            <w:tcBorders>
              <w:top w:val="none" w:color="FFFFFF" w:sz="0"/>
              <w:left w:val="none" w:color="FFFFFF" w:sz="0"/>
              <w:bottom w:val="single" w:color="000000" w:sz="1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8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0.585</w:t>
            </w:r>
          </w:p>
        </w:tc>
      </w:tr>
    </w:tbl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Hazard ratios were estimated from Cox proportional-hazards models with cluster-robust standard errors, adjusted for age at index date. For lesion recurrence and novel-type acquisition, HR &lt; 1 indicates a favourable vaccine effect; for hr-HPV clearance outcomes, HR &gt; 1 indicates faster clearance in the vaccinated arm and is the favourable direction. No multiplicity adjustment was applied.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Ev, events; HR, hazard ratio; CI, confidence interval; HSIL, high-grade squamous intraepithelial lesion; CIN3, cervical intraepithelial neoplasia grade 3; hr-HPV, high-risk human papillomavirus; V, vaccinated; C, unvaccinated control.</w:t>
      </w:r>
    </w:p>
    <w:p>
      <w:pPr>
        <w:pageBreakBefore/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1.</w:t>
      </w:r>
      <w:r>
        <w:rPr>
          <w:rFonts w:ascii="Arial" w:cs="Arial" w:eastAsia="Arial" w:hAnsi="Arial"/>
          <w:sz w:val="22"/>
          <w:szCs w:val="22"/>
        </w:rPr>
        <w:t xml:space="preserve"> Construction of the two analytic cohorts from a single source population (Korean HPV cohort, 2009–2024)</w:t>
      </w:r>
    </w:p>
    <w:p>
      <w:pPr>
        <w:spacing w:after="120" w:line="240"/>
        <w:jc w:val="center"/>
      </w:pPr>
      <w:r>
        <w:drawing>
          <wp:inline distT="0" distB="0" distL="0" distR="0">
            <wp:extent cx="5715000" cy="4143375"/>
            <wp:effectExtent t="0" r="0" b="0" l="0"/>
            <wp:docPr id="1" name="Figure1_CohortSelection.png" descr="Figure1_CohortSelection.png" title="Figure1_CohortSelec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A total of 32,969 women were enrolled prospectively. Receipt of HPV vaccination was ascertained from the clinical data warehouse prescription file by joint matching on drug names and institution-specific drug-code prefixes (concordance 100%). Cohort A (long-term safety) applied 1:1 propensity-score matching (caliper 0.2 × SD[logit PS], without replacement), yielding 2,051 vaccinated and 2,051 unvaccinated women (n = 4,102). Cohort B (post-surgical efficacy) was restricted to 6,890 women who underwent cervical conisation or hysterectomy and applied a two-step variable-ratio matching procedure, producing 241 vaccinated and 867 unvaccinated women (n = 1,108; mean ratio 3.60).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PSM, propensity-score matching; CDW, clinical data warehouse; HSIL, high-grade squamous intraepithelial lesion; CIN3, cervical intraepithelial neoplasia grade 3; BMI, body mass index.</w:t>
      </w:r>
    </w:p>
    <w:p>
      <w:pPr>
        <w:pageBreakBefore/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2.</w:t>
      </w:r>
      <w:r>
        <w:rPr>
          <w:rFonts w:ascii="Arial" w:cs="Arial" w:eastAsia="Arial" w:hAnsi="Arial"/>
          <w:sz w:val="22"/>
          <w:szCs w:val="22"/>
        </w:rPr>
        <w:t xml:space="preserve"> Aalen–Johansen cumulative incidence functions and forest plot of cause-specific hazard ratios for chronic-disease endpoints in the entire cohort (Cohort A, N = 4,102)</w:t>
      </w:r>
    </w:p>
    <w:p>
      <w:pPr>
        <w:spacing w:after="120" w:line="240"/>
        <w:jc w:val="center"/>
      </w:pPr>
      <w:r>
        <w:drawing>
          <wp:inline distT="0" distB="0" distL="0" distR="0">
            <wp:extent cx="5715000" cy="3524250"/>
            <wp:effectExtent t="0" r="0" b="0" l="0"/>
            <wp:docPr id="1" name="Figure2_CohortA_CIF_HR.png" descr="Figure2_CohortA_CIF_HR.png" title="Figure2_CohortA_CIF_H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Death from any cause was treated as a competing event. Shaded bands represent 95% confidence intervals. The forest plot displays cause-specific hazard ratios with 95% confidence intervals estimated using cluster-robust standard errors.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CIF, cumulative incidence function; csHR, cause-specific hazard ratio; CI, confidence interval; MI, myocardial infarction; MCE, major cardiovascular event.</w:t>
      </w:r>
    </w:p>
    <w:p>
      <w:pPr>
        <w:pageBreakBefore/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3.</w:t>
      </w:r>
      <w:r>
        <w:rPr>
          <w:rFonts w:ascii="Arial" w:cs="Arial" w:eastAsia="Arial" w:hAnsi="Arial"/>
          <w:sz w:val="22"/>
          <w:szCs w:val="22"/>
        </w:rPr>
        <w:t xml:space="preserve"> Cumulative incidence curves for the two co-primary outcomes in the surgical cohort (Cohort B, N = 1,108)</w:t>
      </w:r>
    </w:p>
    <w:p>
      <w:pPr>
        <w:spacing w:after="120" w:line="240"/>
        <w:jc w:val="center"/>
      </w:pPr>
      <w:r>
        <w:drawing>
          <wp:inline distT="0" distB="0" distL="0" distR="0">
            <wp:extent cx="5715000" cy="3457575"/>
            <wp:effectExtent t="0" r="0" b="0" l="0"/>
            <wp:docPr id="1" name="Figure3_CohortB_CIF.png" descr="Figure3_CohortB_CIF.png" title="Figure3_CohortB_CI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(a) Cumulative incidence of biopsy-confirmed high-grade cervical lesion recurrence (CIN2+/HSIL+ or invasive cancer), estimated as 1 minus the Kaplan–Meier estimator (whole cohort; HR &lt; 1 favourable). (b) Cumulative clearance probability among women with documented pre-vaccine hr-HPV positivity (n = 292), defined as the time to two consecutive hr-HPV-negative molecular pathology records, estimated as the complement of the Kaplan–Meier function (HR &gt; 1 indicates faster clearance in the vaccinated arm). Because deaths were rare in this young post-surgical cohort, the 1 − S(t) estimator approximates the Aalen–Johansen cumulative incidence function to within rounding error. Shaded bands represent 95% confidence intervals.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CIN2, cervical intraepithelial neoplasia grade 2; HSIL, high-grade squamous intraepithelial lesion; hr-HPV, high-risk human papillomavirus; HR, hazard ratio; CI, confidence interval.</w:t>
      </w:r>
    </w:p>
    <w:p>
      <w:pPr>
        <w:pageBreakBefore/>
        <w:spacing w:after="80" w:line="36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Figure 4.</w:t>
      </w:r>
      <w:r>
        <w:rPr>
          <w:rFonts w:ascii="Arial" w:cs="Arial" w:eastAsia="Arial" w:hAnsi="Arial"/>
          <w:sz w:val="22"/>
          <w:szCs w:val="22"/>
        </w:rPr>
        <w:t xml:space="preserve"> Subgroup analyses for the co-primary outcomes in the surgical cohort (Cohort B)</w:t>
      </w:r>
    </w:p>
    <w:p>
      <w:pPr>
        <w:spacing w:after="120" w:line="240"/>
        <w:jc w:val="center"/>
      </w:pPr>
      <w:r>
        <w:drawing>
          <wp:inline distT="0" distB="0" distL="0" distR="0">
            <wp:extent cx="5715000" cy="2219325"/>
            <wp:effectExtent t="0" r="0" b="0" l="0"/>
            <wp:docPr id="1" name="Figure4_CohortB_Subgroup.png" descr="Figure4_CohortB_Subgroup.png" title="Figure4_CohortB_Subgro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Note: </w:t>
      </w:r>
      <w:r>
        <w:rPr>
          <w:rFonts w:ascii="Arial" w:cs="Arial" w:eastAsia="Arial" w:hAnsi="Arial"/>
          <w:sz w:val="18"/>
          <w:szCs w:val="18"/>
        </w:rPr>
        <w:t xml:space="preserve">Forest plots of hazard ratios by vaccine type (nonavalent, bivalent, quadrivalent) and by age at index (&lt;40, 40–49, ≥50 years), reported separately for lesion recurrence (HR &lt; 1 favourable) and hr-HPV clearance (HR &gt; 1 favourable). Hazard ratios were estimated from Cox proportional-hazards models with cluster-robust standard errors, adjusted for age at index date. The likelihood-ratio test for vaccine-type heterogeneity is shown.</w:t>
      </w:r>
    </w:p>
    <w:p>
      <w:pPr>
        <w:spacing w:after="40" w:line="320"/>
        <w:jc w:val="left"/>
      </w:pPr>
      <w:r>
        <w:rPr>
          <w:rFonts w:ascii="Arial" w:cs="Arial" w:eastAsia="Arial" w:hAnsi="Arial"/>
          <w:b/>
          <w:bCs/>
          <w:i/>
          <w:iCs/>
          <w:sz w:val="18"/>
          <w:szCs w:val="18"/>
        </w:rPr>
        <w:t xml:space="preserve">Abbreviations: 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HR, hazard ratio; CI, confidence interval; hr-HPV, high-risk human papillomavirus; LRT, likelihood-ratio test.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sz w:val="18"/>
        <w:szCs w:val="18"/>
      </w:rPr>
      <w:t xml:space="preserve">HPV vaccination — Tables and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4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1e8981200cc54eac071f6c1c7122dd1cfccf0.png"/><Relationship Id="rId10" Type="http://schemas.openxmlformats.org/officeDocument/2006/relationships/image" Target="media/1e2328939c29cf784bf155454e2f847f009b4a55.png"/><Relationship Id="rId11" Type="http://schemas.openxmlformats.org/officeDocument/2006/relationships/image" Target="media/e19147471dd674e5db27f92d68438473501bcbbb.png"/><Relationship Id="rId12" Type="http://schemas.openxmlformats.org/officeDocument/2006/relationships/image" Target="media/d4befe301fd69ce4452e0ecba670e1a20ff971c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2026-05-10T02:20:37.700Z</dcterms:created>
  <dcterms:modified xsi:type="dcterms:W3CDTF">2026-05-10T02:20:37.700Z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