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overall clearance of pre-existing hr-HPV defined as two consecutive negative tests (hazard ratio 1.40, 0.92–2.11; p = 0.11). The clearance point estimate was directionally favourable but did not reach statistical significance. A pre-specified piecewise time-stratified analysis of the clearance co-primary identified a significant 6–12 month window effect (hazard ratio 3.19, 95% CI 1.44–7.09; p = 0.004) consistent with the timing of HPV-vaccine antibody maturation.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pStyle w:val="BodyText"/>
      </w:pPr>
      <w:r>
        <w:t xml:space="preserve">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S10).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S11). Cumulative clearance curves and the corresponding hazard ratios are shown in</w:t>
      </w:r>
      <w:r>
        <w:t xml:space="preserve"> </w:t>
      </w:r>
      <w:r>
        <w:rPr>
          <w:b/>
          <w:bCs/>
        </w:rPr>
        <w:t xml:space="preserve">Figure 3</w:t>
      </w:r>
      <w:r>
        <w:t xml:space="preserve"> </w:t>
      </w:r>
      <w:r>
        <w:t xml:space="preserve">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(Cohort A composites and individual chronic-disease endpoints similarly null). A strict 1:4 fine-matched alternative yielded a lesion-recurrence hazard ratio of 0.72 (0.36–1.41), close to the variable-ratio primary.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two observations: (i) the absence of any safety signal for major chronic disease over a median follow-up of approximately six years, including the broad Any-of-5 composite; and (ii) the absence of a statistically significant effect of post-surgical vaccination on either co-primary outcome — lesion recurrence (HR 0.80, 95% CI 0.44–1.43) or hr-HPV clearance among women with documented pre-vaccine high-risk positivity (HR 1.40, 95% CI 0.92–2.11) — despite a directionally favourable clearance point estimate and a pre-specified time-stratified analysis identifying a significant 6–12 month clearance window (HR 3.19, 95% CI 1.44–7.09) consistent with the timing of vaccine antibody maturation. These findings should be situated against the FUTURE I/II trial program, which established prophylactic vaccine efficacy in HPV-naïve women, and against meta-analyses of post-surgical vaccination (Joura et al., Velentzis et al.) that have yielded inconsistent results.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8"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2026-05-14T01:56:32Z</dcterms:created>
  <dcterms:modified xsi:type="dcterms:W3CDTF">2026-05-14T01:56:32Z</dcterms:modified>
</cp:coreProperties>
</file>

<file path=docProps/custom.xml><?xml version="1.0" encoding="utf-8"?>
<Properties xmlns="http://schemas.openxmlformats.org/officeDocument/2006/custom-properties" xmlns:vt="http://schemas.openxmlformats.org/officeDocument/2006/docPropsVTypes"/>
</file>