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pplementary-materials"/>
    <w:p>
      <w:pPr>
        <w:pStyle w:val="Heading1"/>
      </w:pPr>
      <w:r>
        <w:t xml:space="preserve">Supplementary materials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Figure S1</w:t>
      </w:r>
      <w:r>
        <w:t xml:space="preserve">. Love plot — covariate balance before and after 1:1 propensity score matching (Cohort A)..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Figure S2</w:t>
      </w:r>
      <w:r>
        <w:t xml:space="preserve">. Love plot — covariate balance before and after fine variable-ratio (1:up-to-4) matching (Cohort B)..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Figure S3</w:t>
      </w:r>
      <w:r>
        <w:t xml:space="preserve">. Propensity-score density distributions, before and after matching..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Figure S4</w:t>
      </w:r>
      <w:r>
        <w:t xml:space="preserve">. Schoenfeld residual plots for Cohort A primary models (Any-of-5, Diabetes)..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Figure S5</w:t>
      </w:r>
      <w:r>
        <w:t xml:space="preserve">. Schoenfeld residual plots for Cohort B co-primary models — lesion recurrence (</w:t>
      </w:r>
      <w:r>
        <w:rPr>
          <w:rStyle w:val="VerbatimChar"/>
        </w:rPr>
        <w:t xml:space="preserve">Data/PH_check_B_has_recurrence.png</w:t>
      </w:r>
      <w:r>
        <w:t xml:space="preserve">) and hr-HPV clearance (</w:t>
      </w:r>
      <w:r>
        <w:rPr>
          <w:rStyle w:val="VerbatimChar"/>
        </w:rPr>
        <w:t xml:space="preserve">Data/PH_check_B_clearance.png</w:t>
      </w:r>
      <w:r>
        <w:t xml:space="preserve">, fitted on the n = 292 pre-vaccine hr-HPV-positive subset with the two-consecutive-negative event).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Figure S6</w:t>
      </w:r>
      <w:r>
        <w:t xml:space="preserve">.</w:t>
      </w:r>
      <w:r>
        <w:t xml:space="preserve"> </w:t>
      </w:r>
      <w:r>
        <w:rPr>
          <w:b/>
          <w:bCs/>
        </w:rPr>
        <w:t xml:space="preserve">Pre-specified sensitivity analyses for Cohort B — five-panel summary forest plot.</w:t>
      </w:r>
      <w:r>
        <w:t xml:space="preserve"> </w:t>
      </w:r>
      <w:r>
        <w:rPr>
          <w:b/>
          <w:bCs/>
        </w:rPr>
        <w:t xml:space="preserve">Sens-A</w:t>
      </w:r>
      <w:r>
        <w:t xml:space="preserve"> </w:t>
      </w:r>
      <w:r>
        <w:t xml:space="preserve">(top panel) —</w:t>
      </w:r>
      <w:r>
        <w:t xml:space="preserve"> </w:t>
      </w:r>
      <w:r>
        <w:rPr>
          <w:i/>
          <w:iCs/>
        </w:rPr>
        <w:t xml:space="preserve">hr-HPV clearance event-definition robustness</w:t>
      </w:r>
      <w:r>
        <w:t xml:space="preserve">: the more permissive single-negative-test definition contrasted against the two-consecutive-negative primary (HR &gt; 1 favours vaccinated).</w:t>
      </w:r>
      <w:r>
        <w:t xml:space="preserve"> </w:t>
      </w:r>
      <w:r>
        <w:rPr>
          <w:b/>
          <w:bCs/>
        </w:rPr>
        <w:t xml:space="preserve">Sens-B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hr-HPV clearance time-stratified piecewise Cox model</w:t>
      </w:r>
      <w:r>
        <w:t xml:space="preserve">: the average hazard ratio decomposed into 0–6, 6–12, 12–24, and ≥24-month windows with left-truncation at each window’s lower bound (HR &gt; 1 favours vaccinated); the 6–12 month window is highlighted in red because its 95% confidence interval excludes 1.</w:t>
      </w:r>
      <w:r>
        <w:t xml:space="preserve"> </w:t>
      </w:r>
      <w:r>
        <w:rPr>
          <w:b/>
          <w:bCs/>
        </w:rPr>
        <w:t xml:space="preserve">Sens-C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lesion recurrence dose-threshold sensitivity</w:t>
      </w:r>
      <w:r>
        <w:t xml:space="preserve">: re-fitted hazard ratios under ≥1, ≥2, and ≥3 (complete schedule) dose definitions with matched-set integrity preserved (HR &lt; 1 favours vaccinated).</w:t>
      </w:r>
      <w:r>
        <w:t xml:space="preserve"> </w:t>
      </w:r>
      <w:r>
        <w:rPr>
          <w:b/>
          <w:bCs/>
        </w:rPr>
        <w:t xml:space="preserve">Sens-D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lesion recurrence matching-structure robustness</w:t>
      </w:r>
      <w:r>
        <w:t xml:space="preserve">: variable-ratio (1:up-to-4, primary) versus strict 1:4 fine matching (HR &lt; 1 favours vaccinated).</w:t>
      </w:r>
      <w:r>
        <w:t xml:space="preserve"> </w:t>
      </w:r>
      <w:r>
        <w:rPr>
          <w:b/>
          <w:bCs/>
        </w:rPr>
        <w:t xml:space="preserve">Sens-E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lesion recurrence minimum disease-free interval</w:t>
      </w:r>
      <w:r>
        <w:t xml:space="preserve">: 0, 3, 6, and 12-month buffers from the index date before counting a recurrence event (HR &lt; 1 favours vaccinated). Each row reports the HR (95% CI), event counts (vaccinated / control), and p-value; the dashed vertical line marks the null..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</w:t>
      </w:r>
      <w:r>
        <w:t xml:space="preserve">. Pre-matching baseline characteristics with the same variable list as Table 1. File:</w:t>
      </w:r>
      <w:r>
        <w:t xml:space="preserve"> </w:t>
      </w:r>
      <w:r>
        <w:rPr>
          <w:rStyle w:val="VerbatimChar"/>
        </w:rPr>
        <w:t xml:space="preserve">Data/Table1_BaselineCharacteristics_unified.docx</w:t>
      </w:r>
      <w:r>
        <w:t xml:space="preserve"> </w:t>
      </w:r>
      <w:r>
        <w:t xml:space="preserve">(pre-matching blocks).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S2</w:t>
      </w:r>
      <w:r>
        <w:t xml:space="preserve">. Propensity-score model coefficients (logistic regression) for Cohort A..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S3</w:t>
      </w:r>
      <w:r>
        <w:t xml:space="preserve">. Age-stratified hazard ratios for Cohort B (lesion recurrence) across follow-up windows. File:</w:t>
      </w:r>
      <w:r>
        <w:t xml:space="preserve"> </w:t>
      </w:r>
      <w:r>
        <w:rPr>
          <w:rStyle w:val="VerbatimChar"/>
        </w:rPr>
        <w:t xml:space="preserve">Data/SupTableS4_revised_age_fu_forest.docx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Data/CohortB_age_fu_forest.csv</w:t>
      </w:r>
      <w:r>
        <w:t xml:space="preserve">. The full grid-search version (≈6,900 combinations) used to identify the post-hoc 30–52 year stratum is retained for transparency in</w:t>
      </w:r>
      <w:r>
        <w:t xml:space="preserve"> </w:t>
      </w:r>
      <w:r>
        <w:rPr>
          <w:rStyle w:val="VerbatimChar"/>
        </w:rPr>
        <w:t xml:space="preserve">Data/sensitivity_age_cutoff.csv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S4</w:t>
      </w:r>
      <w:r>
        <w:t xml:space="preserve">. Number-at-risk tables for Kaplan–Meier and Aalen–Johansen curves..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S5</w:t>
      </w:r>
      <w:r>
        <w:t xml:space="preserve">. Per-vaccine-type detailed results — both pairwise subgroup hazard ratios and single-model interaction-derived hazard ratios with the LRT for vaccine-type heterogeneity (rows for both co-primary outcomes plus the post-index hr-HPV detection sensitivity)..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S6</w:t>
      </w:r>
      <w:r>
        <w:t xml:space="preserve">. Cluster-robust hazard ratios with person-years, incidence rates, and Schoenfeld residual p-values for both cohorts. File:</w:t>
      </w:r>
      <w:r>
        <w:t xml:space="preserve"> </w:t>
      </w:r>
      <w:r>
        <w:rPr>
          <w:rStyle w:val="VerbatimChar"/>
        </w:rPr>
        <w:t xml:space="preserve">Data/Methodology_Revisions.docx</w:t>
      </w:r>
      <w:r>
        <w:t xml:space="preserve"> </w:t>
      </w:r>
      <w:r>
        <w:t xml:space="preserve">(Tables R1–R2).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S7</w:t>
      </w:r>
      <w:r>
        <w:t xml:space="preserve">. Pseudo-index assignment sensitivity analysis for Cohort A (Any-of-five)..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S8</w:t>
      </w:r>
      <w:r>
        <w:t xml:space="preserve"> </w:t>
      </w:r>
      <w:r>
        <w:rPr>
          <w:i/>
          <w:iCs/>
        </w:rPr>
        <w:t xml:space="preserve">(Sens-C)</w:t>
      </w:r>
      <w:r>
        <w:t xml:space="preserve">. Dose-threshold sensitivity for both cohorts — re-fitted hazard ratios under ≥1, ≥2, and ≥3 (complete schedule) dose definitions..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S9</w:t>
      </w:r>
      <w:r>
        <w:t xml:space="preserve"> </w:t>
      </w:r>
      <w:r>
        <w:rPr>
          <w:i/>
          <w:iCs/>
        </w:rPr>
        <w:t xml:space="preserve">(Sens-D)</w:t>
      </w:r>
      <w:r>
        <w:t xml:space="preserve">. Strict 1:4 fine-matching sensitivity for Cohort B lesion recurrence — variable-ratio (primary) versus strict (sensitivity) specifications..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S10</w:t>
      </w:r>
      <w:r>
        <w:t xml:space="preserve"> </w:t>
      </w:r>
      <w:r>
        <w:rPr>
          <w:i/>
          <w:iCs/>
        </w:rPr>
        <w:t xml:space="preserve">(Sens-B)</w:t>
      </w:r>
      <w:r>
        <w:t xml:space="preserve">. Time-stratified hr-HPV clearance hazard ratios decomposed into 0–6, 6–12, 12–24, and ≥24-month windows post-index..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S11</w:t>
      </w:r>
      <w:r>
        <w:t xml:space="preserve"> </w:t>
      </w:r>
      <w:r>
        <w:rPr>
          <w:i/>
          <w:iCs/>
        </w:rPr>
        <w:t xml:space="preserve">(Sens-A)</w:t>
      </w:r>
      <w:r>
        <w:t xml:space="preserve">. Single-negative HPV clearance sensitivity — alternative event definition using the FIRST single post-index hr-HPV-negative record, in contrast to the two-consecutive-negative primary..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S12</w:t>
      </w:r>
      <w:r>
        <w:t xml:space="preserve"> </w:t>
      </w:r>
      <w:r>
        <w:rPr>
          <w:i/>
          <w:iCs/>
        </w:rPr>
        <w:t xml:space="preserve">(Sens-E)</w:t>
      </w:r>
      <w:r>
        <w:t xml:space="preserve">. Disease-free-interval sensitivity for lesion recurrence — minimum 3-, 6-, and 12-month buffer from the index date before counting a recurrence event..</w:t>
      </w:r>
    </w:p>
    <w:p>
      <w:r>
        <w:pict>
          <v:rect style="width:0;height:1.5pt" o:hralign="center" o:hrstd="t" o:hr="t"/>
        </w:pic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2026-05-14T01:56:32Z</dcterms:created>
  <dcterms:modified xsi:type="dcterms:W3CDTF">2026-05-14T01:56:32Z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