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ain-tables-and-figures"/>
    <w:p>
      <w:pPr>
        <w:pStyle w:val="Heading1"/>
      </w:pPr>
      <w:r>
        <w:t xml:space="preserve">Main tables and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</w:t>
      </w:r>
      <w:r>
        <w:t xml:space="preserve">. CONSORT-style cohort selection flow diagram. From the single source population (N = 32,969) the diagram traces the derivation of</w:t>
      </w:r>
      <w:r>
        <w:t xml:space="preserve"> </w:t>
      </w:r>
      <w:r>
        <w:rPr>
          <w:b/>
          <w:bCs/>
        </w:rPr>
        <w:t xml:space="preserve">Cohort A</w:t>
      </w:r>
      <w:r>
        <w:t xml:space="preserve"> </w:t>
      </w:r>
      <w:r>
        <w:t xml:space="preserve">(whole-cohort safety analysis) through eligibility filtering, pseudo-index assignment for unvaccinated controls, and 1:1 propensity-score matching to a final n = 4,102 (2,051 vaccinated / 2,051 unvaccinated); and</w:t>
      </w:r>
      <w:r>
        <w:t xml:space="preserve"> </w:t>
      </w:r>
      <w:r>
        <w:rPr>
          <w:b/>
          <w:bCs/>
        </w:rPr>
        <w:t xml:space="preserve">Cohort B</w:t>
      </w:r>
      <w:r>
        <w:t xml:space="preserve"> </w:t>
      </w:r>
      <w:r>
        <w:t xml:space="preserve">(post-surgical efficacy analysis) through the cervical-surgery filter (n = 6,890), 1:up-to-5 initial matching (411 vaccinated / 1,815 unvaccinated), index-date eligibility, and 1:up-to-4 fine matching to a final n = 1,108 (241 vaccinated / 867 unvaccinated). Cohort A outcomes are the five pre-classified chronic conditions and the MCE and Any-of-5 composites; Cohort B co-primary outcomes are biopsy-confirmed lesion recurrence (≥CIN2) and hr-HPV clearance among women with documented pre-vaccine hr-HPV positivity..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</w:t>
      </w:r>
      <w:r>
        <w:t xml:space="preserve">.</w:t>
      </w:r>
      <w:r>
        <w:t xml:space="preserve"> </w:t>
      </w:r>
      <w:r>
        <w:rPr>
          <w:b/>
          <w:bCs/>
        </w:rPr>
        <w:t xml:space="preserve">Cohort A — Aalen–Johansen cumulative incidence functions and cluster-robust hazard ratios.</w:t>
      </w:r>
      <w:r>
        <w:t xml:space="preserve"> </w:t>
      </w:r>
      <w:r>
        <w:t xml:space="preserve">Panels</w:t>
      </w:r>
      <w:r>
        <w:t xml:space="preserve"> </w:t>
      </w:r>
      <w:r>
        <w:rPr>
          <w:b/>
          <w:bCs/>
        </w:rPr>
        <w:t xml:space="preserve">a–e</w:t>
      </w:r>
      <w:r>
        <w:t xml:space="preserve"> </w:t>
      </w:r>
      <w:r>
        <w:t xml:space="preserve">show the Aalen–Johansen cumulative incidence (with 95% pointwise confidence bands) over years from the index date for the</w:t>
      </w:r>
      <w:r>
        <w:t xml:space="preserve"> </w:t>
      </w:r>
      <w:r>
        <w:rPr>
          <w:b/>
          <w:bCs/>
        </w:rPr>
        <w:t xml:space="preserve">Any-of-5 composite (a)</w:t>
      </w:r>
      <w:r>
        <w:t xml:space="preserve">,</w:t>
      </w:r>
      <w:r>
        <w:t xml:space="preserve"> </w:t>
      </w:r>
      <w:r>
        <w:rPr>
          <w:b/>
          <w:bCs/>
        </w:rPr>
        <w:t xml:space="preserve">MCE composite (b)</w:t>
      </w:r>
      <w:r>
        <w:t xml:space="preserve">,</w:t>
      </w:r>
      <w:r>
        <w:t xml:space="preserve"> </w:t>
      </w:r>
      <w:r>
        <w:rPr>
          <w:b/>
          <w:bCs/>
        </w:rPr>
        <w:t xml:space="preserve">Diabetes (c)</w:t>
      </w:r>
      <w:r>
        <w:t xml:space="preserve">,</w:t>
      </w:r>
      <w:r>
        <w:t xml:space="preserve"> </w:t>
      </w:r>
      <w:r>
        <w:rPr>
          <w:b/>
          <w:bCs/>
        </w:rPr>
        <w:t xml:space="preserve">Hypertension (d)</w:t>
      </w:r>
      <w:r>
        <w:t xml:space="preserve">, and</w:t>
      </w:r>
      <w:r>
        <w:t xml:space="preserve"> </w:t>
      </w:r>
      <w:r>
        <w:rPr>
          <w:b/>
          <w:bCs/>
        </w:rPr>
        <w:t xml:space="preserve">Angina / Myocardial infarction (e)</w:t>
      </w:r>
      <w:r>
        <w:t xml:space="preserve">, with vaccinated women in red and matched unvaccinated controls in blue. Panel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is a forest plot of cluster-robust cause-specific hazard ratios for vaccinated versus unvaccinated women across the seven Cohort A endpoints (Any-of-5, MCE composite, Hypertension, Diabetes, Angina/MI, Stroke, Pulmonary embolism); endpoints with fewer than five total events are marked as</w:t>
      </w:r>
      <w:r>
        <w:t xml:space="preserve"> </w:t>
      </w:r>
      <w:r>
        <w:t xml:space="preserve">“insufficient events”</w:t>
      </w:r>
      <w:r>
        <w:t xml:space="preserve"> </w:t>
      </w:r>
      <w:r>
        <w:t xml:space="preserve">and not modelled..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</w:t>
      </w:r>
      <w:r>
        <w:t xml:space="preserve">.</w:t>
      </w:r>
      <w:r>
        <w:t xml:space="preserve"> </w:t>
      </w:r>
      <w:r>
        <w:rPr>
          <w:b/>
          <w:bCs/>
        </w:rPr>
        <w:t xml:space="preserve">Cohort B co-primary outcomes — cumulative incidence curves with number-at-risk tables.</w:t>
      </w:r>
      <w:r>
        <w:t xml:space="preserve"> </w:t>
      </w:r>
      <w:r>
        <w:t xml:space="preserve">Panel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plots the cumulative incidence (1 − Kaplan–Meier) of</w:t>
      </w:r>
      <w:r>
        <w:t xml:space="preserve"> </w:t>
      </w:r>
      <w:r>
        <w:rPr>
          <w:b/>
          <w:bCs/>
        </w:rPr>
        <w:t xml:space="preserve">biopsy-confirmed lesion recurrence (≥CIN2)</w:t>
      </w:r>
      <w:r>
        <w:t xml:space="preserve"> </w:t>
      </w:r>
      <w:r>
        <w:t xml:space="preserve">in the full Cohort B (n = 1,108); panel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plots the</w:t>
      </w:r>
      <w:r>
        <w:t xml:space="preserve"> </w:t>
      </w:r>
      <w:r>
        <w:rPr>
          <w:b/>
          <w:bCs/>
        </w:rPr>
        <w:t xml:space="preserve">cumulative clearance probability of pre-existing hr-HPV</w:t>
      </w:r>
      <w:r>
        <w:t xml:space="preserve"> </w:t>
      </w:r>
      <w:r>
        <w:t xml:space="preserve">— defined as the FIRST of two consecutive post-index hr-HPV-negative molecular pathology records — among the subset with documented pre-vaccine hr-HPV positivity (n = 292: 110 vaccinated, 182 controls); for clearance, a probability curve that rises faster (and a hazard ratio &gt; 1) is the favourable direction. Each panel reports the age-adjusted, cluster-robust hazard ratio with 95% confidence interval and p-value. Below each panel is the corresponding number-at-risk table by group..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4</w:t>
      </w:r>
      <w:r>
        <w:t xml:space="preserve">.</w:t>
      </w:r>
      <w:r>
        <w:t xml:space="preserve"> </w:t>
      </w:r>
      <w:r>
        <w:rPr>
          <w:b/>
          <w:bCs/>
        </w:rPr>
        <w:t xml:space="preserve">Cohort B subgroup analyses — combined table-with-forest plot for both co-primary outcomes.</w:t>
      </w:r>
      <w:r>
        <w:t xml:space="preserve"> </w:t>
      </w:r>
      <w:r>
        <w:t xml:space="preserve">Panel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lesion recurrence (≥CIN2; HR &lt; 1 favours vaccination)</w:t>
      </w:r>
      <w:r>
        <w:t xml:space="preserve"> </w:t>
      </w:r>
      <w:r>
        <w:t xml:space="preserve">and panel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hr-HPV clearance among the pre-vaccine HPV-positive subset (HR &gt; 1 favours vaccination)</w:t>
      </w:r>
      <w:r>
        <w:t xml:space="preserve">. Each panel presents subgroup-specific event counts and age-adjusted cluster-robust hazard ratios with 95% confidence intervals for:</w:t>
      </w:r>
      <w:r>
        <w:t xml:space="preserve"> </w:t>
      </w:r>
      <w:r>
        <w:rPr>
          <w:b/>
          <w:bCs/>
        </w:rPr>
        <w:t xml:space="preserve">Overall</w:t>
      </w:r>
      <w:r>
        <w:t xml:space="preserve">; the three pre-specified age strata (&lt;40, 40–49, ≥50 years); and the three vaccine-type strata (Gardasil 9, Cervarix, quadrivalent Gardasil). The likelihood-ratio P value for the corresponding age × vaccination or vaccine-type × vaccination interaction term in a single age-adjusted Cox model with cluster-robust standard errors on the fine-matching identifier is reported beneath each subgroup section. Filled red squares indicate strata in which the 95% confidence interval excludes 1 in the favourable direction; the dashed vertical line marks the null..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1</w:t>
      </w:r>
      <w:r>
        <w:t xml:space="preserve">. Baseline characteristics of analytic cohorts after matching, with absolute standardised mean differences. Includes Cohort A post-matching, Cohort B post-matching, and the Cohort B clearance subset (women with documented pre-vaccine hr-HPV positivity, the analytic population for the clearance co-primary outcome)..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2</w:t>
      </w:r>
      <w:r>
        <w:t xml:space="preserve">. Cohort A — events, cause-specific hazard ratios, and Fine–Gray subdistribution hazard ratios for each endpoint..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3</w:t>
      </w:r>
      <w:r>
        <w:t xml:space="preserve">. Cohort B — events, age-adjusted Cox hazard ratios (95% confidence intervals), and p-values for the two co-primary outcomes (lesion recurrence and hr-HPV clearance) and key sensitivity analyses..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2026-05-14T01:56:32Z</dcterms:created>
  <dcterms:modified xsi:type="dcterms:W3CDTF">2026-05-14T01:56:32Z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