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480"/>
        <w:jc w:val="center"/>
      </w:pPr>
      <w:r>
        <w:rPr>
          <w:rFonts w:ascii="Arial" w:cs="Arial" w:eastAsia="Arial" w:hAnsi="Arial"/>
          <w:b/>
          <w:bCs/>
          <w:sz w:val="28"/>
          <w:szCs w:val="28"/>
        </w:rPr>
        <w:t xml:space="preserve">Long-term safety and post-surgical efficacy of HPV vaccination in women with cervical intraepithelial lesions: a prospective–retrospective cohort study using Korean clinical data warehouse</w:t>
      </w:r>
    </w:p>
    <w:p>
      <w:pPr>
        <w:spacing w:after="0" w:line="480"/>
      </w:pPr>
    </w:p>
    <w:p>
      <w:pPr>
        <w:spacing w:after="0" w:line="480"/>
      </w:pPr>
    </w:p>
    <w:p>
      <w:pPr>
        <w:spacing w:after="0" w:line="480"/>
      </w:pPr>
    </w:p>
    <w:p>
      <w:pPr>
        <w:spacing w:after="0" w:line="480"/>
      </w:pPr>
    </w:p>
    <w:p>
      <w:pPr>
        <w:spacing w:after="0" w:line="480"/>
        <w:ind/>
        <w:jc w:val="both"/>
      </w:pPr>
      <w:r>
        <w:rPr>
          <w:rFonts w:ascii="Arial" w:cs="Arial" w:eastAsia="Arial" w:hAnsi="Arial"/>
          <w:i/>
          <w:iCs/>
          <w:sz w:val="22"/>
          <w:szCs w:val="22"/>
        </w:rPr>
        <w:t xml:space="preserve">[Author names to be inserted]</w:t>
      </w:r>
    </w:p>
    <w:p>
      <w:pPr>
        <w:spacing w:after="0" w:line="480"/>
      </w:pPr>
    </w:p>
    <w:p>
      <w:pPr>
        <w:spacing w:after="0" w:line="480"/>
        <w:ind/>
        <w:jc w:val="both"/>
      </w:pPr>
      <w:r>
        <w:rPr>
          <w:rFonts w:ascii="Arial" w:cs="Arial" w:eastAsia="Arial" w:hAnsi="Arial"/>
          <w:i/>
          <w:iCs/>
          <w:sz w:val="22"/>
          <w:szCs w:val="22"/>
        </w:rPr>
        <w:t xml:space="preserve">[Affiliations to be inserted]</w:t>
      </w:r>
    </w:p>
    <w:p>
      <w:pPr>
        <w:spacing w:after="0" w:line="480"/>
      </w:pPr>
    </w:p>
    <w:p>
      <w:pPr>
        <w:spacing w:after="0" w:line="480"/>
      </w:pPr>
    </w:p>
    <w:p>
      <w:pPr>
        <w:spacing w:after="0" w:line="480"/>
        <w:ind/>
        <w:jc w:val="both"/>
      </w:pPr>
      <w:r>
        <w:rPr>
          <w:rFonts w:ascii="Arial" w:cs="Arial" w:eastAsia="Arial" w:hAnsi="Arial"/>
          <w:b/>
          <w:bCs/>
          <w:sz w:val="22"/>
          <w:szCs w:val="22"/>
        </w:rPr>
        <w:t xml:space="preserve">Corresponding author: </w:t>
      </w:r>
      <w:r>
        <w:rPr>
          <w:rFonts w:ascii="Arial" w:cs="Arial" w:eastAsia="Arial" w:hAnsi="Arial"/>
          <w:i/>
          <w:iCs/>
          <w:sz w:val="22"/>
          <w:szCs w:val="22"/>
        </w:rPr>
        <w:t xml:space="preserve">[Name, address, email to be inserted]</w:t>
      </w:r>
    </w:p>
    <w:p>
      <w:pPr>
        <w:spacing w:after="0" w:line="480"/>
      </w:pPr>
    </w:p>
    <w:p>
      <w:pPr>
        <w:spacing w:after="0" w:line="480"/>
        <w:ind/>
        <w:jc w:val="both"/>
      </w:pPr>
      <w:r>
        <w:rPr>
          <w:rFonts w:ascii="Arial" w:cs="Arial" w:eastAsia="Arial" w:hAnsi="Arial"/>
          <w:b/>
          <w:bCs/>
          <w:sz w:val="22"/>
          <w:szCs w:val="22"/>
        </w:rPr>
        <w:t xml:space="preserve">Word count: </w:t>
      </w:r>
      <w:r>
        <w:rPr>
          <w:rFonts w:ascii="Arial" w:cs="Arial" w:eastAsia="Arial" w:hAnsi="Arial"/>
          <w:i/>
          <w:iCs/>
          <w:sz w:val="22"/>
          <w:szCs w:val="22"/>
        </w:rPr>
        <w:t xml:space="preserve">[to be inserted]</w:t>
      </w:r>
    </w:p>
    <w:p>
      <w:pPr>
        <w:spacing w:after="0" w:line="480"/>
      </w:pPr>
    </w:p>
    <w:p>
      <w:pPr>
        <w:spacing w:after="0" w:line="480"/>
        <w:ind/>
        <w:jc w:val="both"/>
      </w:pPr>
      <w:r>
        <w:rPr>
          <w:rFonts w:ascii="Arial" w:cs="Arial" w:eastAsia="Arial" w:hAnsi="Arial"/>
          <w:b/>
          <w:bCs/>
          <w:sz w:val="22"/>
          <w:szCs w:val="22"/>
        </w:rPr>
        <w:t xml:space="preserve">Running title: </w:t>
      </w:r>
      <w:r>
        <w:rPr>
          <w:rFonts w:ascii="Arial" w:cs="Arial" w:eastAsia="Arial" w:hAnsi="Arial"/>
          <w:sz w:val="22"/>
          <w:szCs w:val="22"/>
        </w:rPr>
        <w:t xml:space="preserve">HPV vaccination safety and post-surgical efficacy</w:t>
      </w:r>
    </w:p>
    <w:p>
      <w:pPr>
        <w:sectPr>
          <w:pgSz w:w="11906" w:h="16838" w:orient="portrait"/>
          <w:pgMar w:top="1440" w:right="1440" w:bottom="1440" w:left="1440" w:header="708" w:footer="708" w:gutter="0"/>
          <w:pgNumType/>
          <w:docGrid w:linePitch="360"/>
        </w:sectPr>
      </w:pPr>
    </w:p>
    <w:p>
      <w:pPr>
        <w:pageBreakBefore/>
        <w:spacing w:after="200" w:line="360"/>
        <w:jc w:val="left"/>
      </w:pPr>
      <w:r>
        <w:rPr>
          <w:rFonts w:ascii="Arial" w:cs="Arial" w:eastAsia="Arial" w:hAnsi="Arial"/>
          <w:b/>
          <w:bCs/>
          <w:sz w:val="28"/>
          <w:szCs w:val="28"/>
        </w:rPr>
        <w:t xml:space="preserve">Abstract</w:t>
      </w:r>
    </w:p>
    <w:p>
      <w:pPr>
        <w:spacing w:after="0" w:line="480"/>
        <w:ind/>
        <w:jc w:val="both"/>
      </w:pPr>
      <w:r>
        <w:rPr>
          <w:rFonts w:ascii="Arial" w:cs="Arial" w:eastAsia="Arial" w:hAnsi="Arial"/>
          <w:sz w:val="22"/>
          <w:szCs w:val="22"/>
        </w:rP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Cohort A (n = 4,102; 1:1 propensity-score matched) assessed chronic-disease safety; Cohort B (n = 1,108; 241 vaccinated, 867 matched controls after surgery for high-grade squamous intraepithelial lesion [HSIL]/cervical intraepithelial neoplasia grade 3 [CIN3]+) assessed post-surgical efficacy with Bonferroni adjustment for two co-primary outcomes. All post-matching standardised mean differences were below 0.10. In Cohort A, vaccination was not associated with chronic-disease incidence (Any-of-five hazard ratio 1.26, 95% confidence interval 0.75–2.12). In Cohort B, no overall reduction was observed in lesion recurrence (hazard ratio 0.76, 0.43–1.33; Bonferroni-adjusted p = 0.67) or HPV reinfection (hazard ratio 0.97, 0.83–1.14; Bonferroni-adjusted p &gt; 0.99). A likelihood-ratio interaction test indicated heterogeneity across vaccine types for HPV reinfection (p = 0.037), with a protective signal for the quadrivalent product (hazard ratio 0.49, 0.26–0.93). HPV vaccination did not increase chronic-disease risk over approximately six years and may confer subgroup-specific benefit.</w:t>
      </w:r>
    </w:p>
    <w:p>
      <w:pPr>
        <w:spacing w:after="0" w:line="480"/>
      </w:pPr>
    </w:p>
    <w:p>
      <w:pPr>
        <w:spacing w:after="0" w:line="480"/>
        <w:ind/>
        <w:jc w:val="both"/>
      </w:pPr>
      <w:r>
        <w:rPr>
          <w:rFonts w:ascii="Arial" w:cs="Arial" w:eastAsia="Arial" w:hAnsi="Arial"/>
          <w:b/>
          <w:bCs/>
          <w:sz w:val="22"/>
          <w:szCs w:val="22"/>
        </w:rPr>
        <w:t xml:space="preserve">Keywords: </w:t>
      </w:r>
      <w:r>
        <w:rPr>
          <w:rFonts w:ascii="Arial" w:cs="Arial" w:eastAsia="Arial" w:hAnsi="Arial"/>
          <w:sz w:val="22"/>
          <w:szCs w:val="22"/>
        </w:rPr>
        <w:t xml:space="preserve">human papillomavirus vaccine, cervical intraepithelial neoplasia, conization, propensity score matching, competing risks, real-world evidence, cohort study</w:t>
      </w:r>
    </w:p>
    <w:p>
      <w:pPr>
        <w:pageBreakBefore/>
        <w:spacing w:after="200" w:line="360"/>
        <w:jc w:val="left"/>
      </w:pPr>
      <w:r>
        <w:rPr>
          <w:rFonts w:ascii="Arial" w:cs="Arial" w:eastAsia="Arial" w:hAnsi="Arial"/>
          <w:b/>
          <w:bCs/>
          <w:sz w:val="28"/>
          <w:szCs w:val="28"/>
        </w:rPr>
        <w:t xml:space="preserve">Methods</w:t>
      </w:r>
    </w:p>
    <w:p>
      <w:pPr>
        <w:spacing w:after="120" w:before="240" w:line="480"/>
      </w:pPr>
      <w:r>
        <w:rPr>
          <w:rFonts w:ascii="Arial" w:cs="Arial" w:eastAsia="Arial" w:hAnsi="Arial"/>
          <w:b/>
          <w:bCs/>
          <w:i w:val="false"/>
          <w:iCs w:val="false"/>
          <w:sz w:val="22"/>
          <w:szCs w:val="22"/>
        </w:rPr>
        <w:t xml:space="preserve">Study design and data source</w:t>
      </w:r>
    </w:p>
    <w:p>
      <w:pPr>
        <w:spacing w:after="0" w:line="480"/>
        <w:ind/>
        <w:jc w:val="both"/>
      </w:pPr>
      <w:r>
        <w:rPr>
          <w:rFonts w:ascii="Arial" w:cs="Arial" w:eastAsia="Arial" w:hAnsi="Arial"/>
          <w:sz w:val="22"/>
          <w:szCs w:val="22"/>
        </w:rP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rPr>
          <w:rFonts w:ascii="Arial" w:cs="Arial" w:eastAsia="Arial" w:hAnsi="Arial"/>
          <w:sz w:val="22"/>
          <w:szCs w:val="22"/>
          <w:vertAlign w:val="superscript"/>
        </w:rPr>
        <w:t xml:space="preserve">1</w:t>
      </w:r>
      <w:r>
        <w:rPr>
          <w:rFonts w:ascii="Arial" w:cs="Arial" w:eastAsia="Arial" w:hAnsi="Arial"/>
          <w:sz w:val="22"/>
          <w:szCs w:val="22"/>
        </w:rPr>
        <w:t xml:space="preserve"> The institutional review board approved the protocol with a waiver of informed consent for the retrospective component (IRB number to be inserted).</w:t>
      </w:r>
    </w:p>
    <w:p>
      <w:pPr>
        <w:spacing w:after="120" w:before="240" w:line="480"/>
      </w:pPr>
      <w:r>
        <w:rPr>
          <w:rFonts w:ascii="Arial" w:cs="Arial" w:eastAsia="Arial" w:hAnsi="Arial"/>
          <w:b/>
          <w:bCs/>
          <w:i w:val="false"/>
          <w:iCs w:val="false"/>
          <w:sz w:val="22"/>
          <w:szCs w:val="22"/>
        </w:rPr>
        <w:t xml:space="preserve">Source population</w:t>
      </w:r>
    </w:p>
    <w:p>
      <w:pPr>
        <w:spacing w:after="0" w:line="480"/>
        <w:ind/>
        <w:jc w:val="both"/>
      </w:pPr>
      <w:r>
        <w:rPr>
          <w:rFonts w:ascii="Arial" w:cs="Arial" w:eastAsia="Arial" w:hAnsi="Arial"/>
          <w:sz w:val="22"/>
          <w:szCs w:val="22"/>
        </w:rP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p>
      <w:pPr>
        <w:spacing w:after="120" w:before="240" w:line="480"/>
      </w:pPr>
      <w:r>
        <w:rPr>
          <w:rFonts w:ascii="Arial" w:cs="Arial" w:eastAsia="Arial" w:hAnsi="Arial"/>
          <w:b/>
          <w:bCs/>
          <w:i w:val="false"/>
          <w:iCs w:val="false"/>
          <w:sz w:val="22"/>
          <w:szCs w:val="22"/>
        </w:rPr>
        <w:t xml:space="preserve">Exposure ascertainment</w:t>
      </w:r>
    </w:p>
    <w:p>
      <w:pPr>
        <w:spacing w:after="0" w:line="480"/>
        <w:ind/>
        <w:jc w:val="both"/>
      </w:pPr>
      <w:r>
        <w:rPr>
          <w:rFonts w:ascii="Arial" w:cs="Arial" w:eastAsia="Arial" w:hAnsi="Arial"/>
          <w:sz w:val="22"/>
          <w:szCs w:val="22"/>
        </w:rPr>
        <w:t xml:space="preserve">HPV vaccination status was determined from the prescription file using two parallel definitions: a keyword search for the brand names "Gardasil", "Gardasil 9", and "Cervarix" (with the corresponding Korean transliterations 가다실 and 서바릭스), and an independent search on the institution-specific drug-code prefixes (`DV-JHP` for Cervarix, `DV-HPF` for the quadrivalent Gardasil, `DV-9HPF` for Gardasil 9), which together covered six distinct codes including variants for free-of-charge and employee/family vaccination. The two definitions identified an identical set of 2,156 women (concordance 100%; Supplementary Table on prescription-code validation),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p>
      <w:pPr>
        <w:spacing w:after="120" w:before="240" w:line="480"/>
      </w:pPr>
      <w:r>
        <w:rPr>
          <w:rFonts w:ascii="Arial" w:cs="Arial" w:eastAsia="Arial" w:hAnsi="Arial"/>
          <w:b/>
          <w:bCs/>
          <w:i w:val="false"/>
          <w:iCs w:val="false"/>
          <w:sz w:val="22"/>
          <w:szCs w:val="22"/>
        </w:rPr>
        <w:t xml:space="preserve">Two analytic cohorts</w:t>
      </w:r>
    </w:p>
    <w:p>
      <w:pPr>
        <w:spacing w:after="0" w:line="480"/>
        <w:ind/>
        <w:jc w:val="both"/>
      </w:pPr>
      <w:r>
        <w:rPr>
          <w:rFonts w:ascii="Arial" w:cs="Arial" w:eastAsia="Arial" w:hAnsi="Arial"/>
          <w:sz w:val="22"/>
          <w:szCs w:val="22"/>
        </w:rPr>
        <w:t xml:space="preserve">To address two complementary research questions, two analytic cohorts were derived from the same source population by applying distinct eligibility and matching procedures.</w:t>
      </w:r>
    </w:p>
    <w:p>
      <w:pPr>
        <w:spacing w:after="0" w:line="480"/>
        <w:ind w:firstLine="800"/>
        <w:jc w:val="both"/>
      </w:pPr>
      <w:r>
        <w:rPr>
          <w:rFonts w:ascii="Arial" w:cs="Arial" w:eastAsia="Arial" w:hAnsi="Arial"/>
          <w:b/>
          <w:bCs/>
          <w:sz w:val="22"/>
          <w:szCs w:val="22"/>
        </w:rPr>
        <w:t xml:space="preserve">Cohort A</w:t>
      </w:r>
      <w:r>
        <w:rPr>
          <w:rFonts w:ascii="Arial" w:cs="Arial" w:eastAsia="Arial" w:hAnsi="Arial"/>
          <w:sz w:val="22"/>
          <w:szCs w:val="22"/>
        </w:rPr>
        <w:t xml:space="preserve"> 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rPr>
          <w:rFonts w:ascii="Arial" w:cs="Arial" w:eastAsia="Arial" w:hAnsi="Arial"/>
          <w:sz w:val="22"/>
          <w:szCs w:val="22"/>
          <w:vertAlign w:val="superscript"/>
        </w:rPr>
        <w:t xml:space="preserve">2</w:t>
      </w:r>
      <w:r>
        <w:rPr>
          <w:rFonts w:ascii="Arial" w:cs="Arial" w:eastAsia="Arial" w:hAnsi="Arial"/>
          <w:sz w:val="22"/>
          <w:szCs w:val="22"/>
        </w:rPr>
        <w:t xml:space="preserve"> The final matched Cohort A comprised 2,051 vaccinated and 2,051 unvaccinated women.</w:t>
      </w:r>
    </w:p>
    <w:p>
      <w:pPr>
        <w:spacing w:after="0" w:line="480"/>
        <w:ind w:firstLine="800"/>
        <w:jc w:val="both"/>
      </w:pPr>
      <w:r>
        <w:rPr>
          <w:rFonts w:ascii="Arial" w:cs="Arial" w:eastAsia="Arial" w:hAnsi="Arial"/>
          <w:b/>
          <w:bCs/>
          <w:sz w:val="22"/>
          <w:szCs w:val="22"/>
        </w:rPr>
        <w:t xml:space="preserve">Cohort B</w:t>
      </w:r>
      <w:r>
        <w:rPr>
          <w:rFonts w:ascii="Arial" w:cs="Arial" w:eastAsia="Arial" w:hAnsi="Arial"/>
          <w:sz w:val="22"/>
          <w:szCs w:val="22"/>
        </w:rPr>
        <w:t xml:space="preserve"> 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final Cohort B comprised 241 vaccinated and 867 unvaccinated women.</w:t>
      </w:r>
    </w:p>
    <w:p>
      <w:pPr>
        <w:spacing w:after="120" w:before="240" w:line="480"/>
      </w:pPr>
      <w:r>
        <w:rPr>
          <w:rFonts w:ascii="Arial" w:cs="Arial" w:eastAsia="Arial" w:hAnsi="Arial"/>
          <w:b/>
          <w:bCs/>
          <w:i w:val="false"/>
          <w:iCs w:val="false"/>
          <w:sz w:val="22"/>
          <w:szCs w:val="22"/>
        </w:rPr>
        <w:t xml:space="preserve">Outcome definitions</w:t>
      </w:r>
    </w:p>
    <w:p>
      <w:pPr>
        <w:spacing w:after="0" w:line="480"/>
        <w:ind/>
        <w:jc w:val="both"/>
      </w:pPr>
      <w:r>
        <w:rPr>
          <w:rFonts w:ascii="Arial" w:cs="Arial" w:eastAsia="Arial" w:hAnsi="Arial"/>
          <w:sz w:val="22"/>
          <w:szCs w:val="22"/>
        </w:rP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 "Any-of-five" 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spacing w:after="0" w:line="480"/>
        <w:ind w:firstLine="800"/>
        <w:jc w:val="both"/>
      </w:pPr>
      <w:r>
        <w:rPr>
          <w:rFonts w:ascii="Arial" w:cs="Arial" w:eastAsia="Arial" w:hAnsi="Arial"/>
          <w:sz w:val="22"/>
          <w:szCs w:val="22"/>
        </w:rPr>
        <w:t xml:space="preserve">In Cohort B, the two pre-specified primary outcomes were biopsy-confirmed lesion recurrence (defined as a HSIL, CIN3, or invasive cervical cancer diagnosis after the index date) and post-index detection of any high-risk HPV type, ascertained from the first pathology record positive for any of the 14 high-risk types (16, 18, 31, 33, 35, 39, 45, 51, 52, 56, 58, 59, 66, 68) occurring after the index date. We refer to this outcome as "post-index hr-HPV detection"; because the cohort consisted of women who had been HPV-positive at the time of the qualifying surgery and who typically clear residual viral DNA over 12–18 months, this composite outcome necessarily captures both persistence or reactivation of the pre-surgical infection and new acquisition. To separate these components, we pre-specified a landmark sensitivity analysis (see Statistical analysis) in which the at-risk clock for the HPV outcome was advanced to 6, 12, and 24 months post-index, on the rationale that detections beyond 12 months are progressively more likely to represent new acquisition than residual viral material. Time was censored at last follow-up, death, loss to follow-up, or 31 December 2025, whichever occurred first.</w:t>
      </w:r>
    </w:p>
    <w:p>
      <w:pPr>
        <w:spacing w:after="120" w:before="240" w:line="480"/>
      </w:pPr>
      <w:r>
        <w:rPr>
          <w:rFonts w:ascii="Arial" w:cs="Arial" w:eastAsia="Arial" w:hAnsi="Arial"/>
          <w:b/>
          <w:bCs/>
          <w:i w:val="false"/>
          <w:iCs w:val="false"/>
          <w:sz w:val="22"/>
          <w:szCs w:val="22"/>
        </w:rPr>
        <w:t xml:space="preserve">Statistical analysis</w:t>
      </w:r>
    </w:p>
    <w:p>
      <w:pPr>
        <w:spacing w:after="0" w:line="480"/>
        <w:ind/>
        <w:jc w:val="both"/>
      </w:pPr>
      <w:r>
        <w:rPr>
          <w:rFonts w:ascii="Arial" w:cs="Arial" w:eastAsia="Arial" w:hAnsi="Arial"/>
          <w:sz w:val="22"/>
          <w:szCs w:val="22"/>
        </w:rP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spacing w:after="0" w:line="480"/>
        <w:ind w:firstLine="800"/>
        <w:jc w:val="both"/>
      </w:pPr>
      <w:r>
        <w:rPr>
          <w:rFonts w:ascii="Arial" w:cs="Arial" w:eastAsia="Arial" w:hAnsi="Arial"/>
          <w:sz w:val="22"/>
          <w:szCs w:val="22"/>
        </w:rP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rPr>
          <w:rFonts w:ascii="Arial" w:cs="Arial" w:eastAsia="Arial" w:hAnsi="Arial"/>
          <w:sz w:val="22"/>
          <w:szCs w:val="22"/>
          <w:vertAlign w:val="superscript"/>
        </w:rPr>
        <w:t xml:space="preserve">3</w:t>
      </w:r>
      <w:r>
        <w:rPr>
          <w:rFonts w:ascii="Arial" w:cs="Arial" w:eastAsia="Arial" w:hAnsi="Arial"/>
          <w:sz w:val="22"/>
          <w:szCs w:val="22"/>
        </w:rPr>
        <w:t xml:space="preserve"> 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S7 and Supplementary Figures S5–S6. Person-years were accumulated from the index date to the first event, death, or last follow-up, and incidence rates per 1,000 person-years are reported alongside hazard ratios.</w:t>
      </w:r>
    </w:p>
    <w:p>
      <w:pPr>
        <w:spacing w:after="0" w:line="480"/>
        <w:ind w:firstLine="800"/>
        <w:jc w:val="both"/>
      </w:pPr>
      <w:r>
        <w:rPr>
          <w:rFonts w:ascii="Arial" w:cs="Arial" w:eastAsia="Arial" w:hAnsi="Arial"/>
          <w:sz w:val="22"/>
          <w:szCs w:val="22"/>
        </w:rPr>
        <w:t xml:space="preserve">In line with the prevailing convention in observational epidemiology, no formal multiple-comparison adjustment (e.g., Bonferroni or false-discovery-rate procedure) was applied to the two Cohort B primary outcomes. Lesion recurrence and high-risk HPV reinfection address distinct biological questions—reactivation or persistence of pre-existing transformed clones versus de novo viral acquisition—and were therefore treated as separate, pre-specified hypotheses rather than members of a single confirmatory family, consistent with the long-standing argument that family-wise error rate control is rarely informative for hypothesis-driven epidemiology</w:t>
      </w:r>
      <w:r>
        <w:rPr>
          <w:rFonts w:ascii="Arial" w:cs="Arial" w:eastAsia="Arial" w:hAnsi="Arial"/>
          <w:sz w:val="22"/>
          <w:szCs w:val="22"/>
          <w:vertAlign w:val="superscript"/>
        </w:rPr>
        <w:t xml:space="preserve">4</w:t>
      </w:r>
      <w:r>
        <w:rPr>
          <w:rFonts w:ascii="Arial" w:cs="Arial" w:eastAsia="Arial" w:hAnsi="Arial"/>
          <w:sz w:val="22"/>
          <w:szCs w:val="22"/>
        </w:rPr>
        <w:t xml:space="preserve"> 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spacing w:after="0" w:line="480"/>
        <w:ind w:firstLine="800"/>
        <w:jc w:val="both"/>
      </w:pPr>
      <w:r>
        <w:rPr>
          <w:rFonts w:ascii="Arial" w:cs="Arial" w:eastAsia="Arial" w:hAnsi="Arial"/>
          <w:sz w:val="22"/>
          <w:szCs w:val="22"/>
        </w:rP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 "as-treated" is avoided because the analysis is, by design, anchored to the date of first vaccine receipt; results from a true intention-to-treat formulation are not pertinent in this single-arm exposure-ascertained setting.</w:t>
      </w:r>
    </w:p>
    <w:p>
      <w:pPr>
        <w:spacing w:after="0" w:line="480"/>
        <w:ind w:firstLine="800"/>
        <w:jc w:val="both"/>
      </w:pPr>
      <w:r>
        <w:rPr>
          <w:rFonts w:ascii="Arial" w:cs="Arial" w:eastAsia="Arial" w:hAnsi="Arial"/>
          <w:sz w:val="22"/>
          <w:szCs w:val="22"/>
        </w:rPr>
        <w:t xml:space="preserve">Four additional sensitivity analyses addressed the exposure, matching, and outcome definitions. First, the primary "≥1 dose" exposure definition was tightened to require ≥2 and ≥3 (complete schedule) doses, with the unvaccinated arm held fixed and the Cox models refit; this analysis was conducted separately in Cohort A (all five chronic-disease endpoints and the two composites) and in Cohort B (both primary outcomes). Second, the variable-ratio (1:up-to-4) primary fine-matching procedure for Cohort B was compared against a strict fixed 1:4 alternative that retained only those vaccinated cases for whom four controls had been identified, dropping cases with one to three controls together with their attached non-vaccinated participants. Variable-ratio matching was specified as the primary approach because the limited number of vaccinated surgical cases (n = 241) and the small absolute event count (13 lesion recurrences) make full retention of matchable cases preferable, while the cluster-robust standard errors using the matching identifier appropriately accommodate the unequal cluster sizes.</w:t>
      </w:r>
      <w:r>
        <w:rPr>
          <w:rFonts w:ascii="Arial" w:cs="Arial" w:eastAsia="Arial" w:hAnsi="Arial"/>
          <w:sz w:val="22"/>
          <w:szCs w:val="22"/>
          <w:vertAlign w:val="superscript"/>
        </w:rPr>
        <w:t xml:space="preserve">5,6</w:t>
      </w:r>
      <w:r>
        <w:rPr>
          <w:rFonts w:ascii="Arial" w:cs="Arial" w:eastAsia="Arial" w:hAnsi="Arial"/>
          <w:sz w:val="22"/>
          <w:szCs w:val="22"/>
        </w:rPr>
        <w:t xml:space="preserve"> Third, the prescription-code validation described above served as a sensitivity check for the exposure definition. Fourth, to separate persistence of the pre-surgical infection from genuine new acquisition in the post-index hr-HPV detection outcome, a landmark sensitivity analysis re-estimated the Cox HR after advancing the at-risk clock to 6, 12, and 24 months post-index. In each landmark analysis, women who had already had a positive hr-HPV record before the landmark, and women whose follow-up ended before the landmark, were excluded; for the remaining women, time at risk was measured from the landmark to the first hr-HPV+ record or the end of follow-up. Results of all four sensitivity analyses are reported in the supplementary material (Supplementary Tables on dose threshold, strict matching, prescription-code validation, and HPV outcome landmark).</w:t>
      </w:r>
    </w:p>
    <w:p>
      <w:pPr>
        <w:spacing w:after="0" w:line="480"/>
        <w:ind w:firstLine="800"/>
        <w:jc w:val="both"/>
      </w:pPr>
      <w:r>
        <w:rPr>
          <w:rFonts w:ascii="Arial" w:cs="Arial" w:eastAsia="Arial" w:hAnsi="Arial"/>
          <w:sz w:val="22"/>
          <w:szCs w:val="22"/>
        </w:rPr>
        <w:t xml:space="preserve">All analyses were conducted in Python 3.14.3 using lifelines 0.30.3, scikit-learn 1.8.0, scipy 1.17.1, pandas 2.3.3, and numpy 2.4.2; random seeds were set to 42 for reproducibility. The analysis code is available in the project repository.</w:t>
      </w:r>
    </w:p>
    <w:p>
      <w:pPr>
        <w:pageBreakBefore/>
        <w:spacing w:after="200" w:line="360"/>
        <w:jc w:val="left"/>
      </w:pPr>
      <w:r>
        <w:rPr>
          <w:rFonts w:ascii="Arial" w:cs="Arial" w:eastAsia="Arial" w:hAnsi="Arial"/>
          <w:b/>
          <w:bCs/>
          <w:sz w:val="28"/>
          <w:szCs w:val="28"/>
        </w:rPr>
        <w:t xml:space="preserve">Results</w:t>
      </w:r>
    </w:p>
    <w:p>
      <w:pPr>
        <w:spacing w:after="120" w:before="240" w:line="480"/>
      </w:pPr>
      <w:r>
        <w:rPr>
          <w:rFonts w:ascii="Arial" w:cs="Arial" w:eastAsia="Arial" w:hAnsi="Arial"/>
          <w:b/>
          <w:bCs/>
          <w:i w:val="false"/>
          <w:iCs w:val="false"/>
          <w:sz w:val="22"/>
          <w:szCs w:val="22"/>
        </w:rPr>
        <w:t xml:space="preserve">Cohort selection and baseline characteristics</w:t>
      </w:r>
    </w:p>
    <w:p>
      <w:pPr>
        <w:spacing w:after="0" w:line="480"/>
        <w:ind/>
        <w:jc w:val="both"/>
      </w:pPr>
      <w:r>
        <w:rPr>
          <w:rFonts w:ascii="Arial" w:cs="Arial" w:eastAsia="Arial" w:hAnsi="Arial"/>
          <w:sz w:val="22"/>
          <w:szCs w:val="22"/>
        </w:rPr>
        <w:t xml:space="preserve">A total of 32,969 women contributed to the source population, of whom 2,156 (6.5%) had received at least one HPV vaccination during follow-up. Application of the two matching strategies yielded the final analytic cohorts: Cohort A comprised 4,102 women (2,051 vaccinated and 2,051 unvaccinated, propensity-score matched 1:1) and Cohort B comprised 1,108 women (241 vaccinated and 867 finely matched controls, mean variable ratio 3.60:1, maximum 4:1). The full selection process is shown in </w:t>
      </w:r>
      <w:r>
        <w:rPr>
          <w:rFonts w:ascii="Arial" w:cs="Arial" w:eastAsia="Arial" w:hAnsi="Arial"/>
          <w:b/>
          <w:bCs/>
          <w:sz w:val="22"/>
          <w:szCs w:val="22"/>
        </w:rPr>
        <w:t xml:space="preserve">Figure 1</w:t>
      </w:r>
      <w:r>
        <w:rPr>
          <w:rFonts w:ascii="Arial" w:cs="Arial" w:eastAsia="Arial" w:hAnsi="Arial"/>
          <w:sz w:val="22"/>
          <w:szCs w:val="22"/>
        </w:rPr>
        <w:t xml:space="preserve">.</w:t>
      </w:r>
    </w:p>
    <w:p>
      <w:pPr>
        <w:spacing w:after="0" w:line="480"/>
        <w:ind w:firstLine="800"/>
        <w:jc w:val="both"/>
      </w:pPr>
      <w:r>
        <w:rPr>
          <w:rFonts w:ascii="Arial" w:cs="Arial" w:eastAsia="Arial" w:hAnsi="Arial"/>
          <w:sz w:val="22"/>
          <w:szCs w:val="22"/>
        </w:rP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rFonts w:ascii="Arial" w:cs="Arial" w:eastAsia="Arial" w:hAnsi="Arial"/>
          <w:b/>
          <w:bCs/>
          <w:sz w:val="22"/>
          <w:szCs w:val="22"/>
        </w:rPr>
        <w:t xml:space="preserve">Table 1</w:t>
      </w:r>
      <w:r>
        <w:rPr>
          <w:rFonts w:ascii="Arial" w:cs="Arial" w:eastAsia="Arial" w:hAnsi="Arial"/>
          <w:sz w:val="22"/>
          <w:szCs w:val="22"/>
        </w:rP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spacing w:after="0" w:line="480"/>
        <w:ind w:firstLine="800"/>
        <w:jc w:val="both"/>
      </w:pPr>
      <w:r>
        <w:rPr>
          <w:rFonts w:ascii="Arial" w:cs="Arial" w:eastAsia="Arial" w:hAnsi="Arial"/>
          <w:sz w:val="22"/>
          <w:szCs w:val="22"/>
        </w:rP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 Median follow-up was 4.88 years (interquartile range 3.33 to 8.57; mean 6.12) in vaccinated women and 5.02 years (interquartile range 3.42 to 8.71; mean 6.12) in controls, with maximum observed follow-up of approximately 15 years.</w:t>
      </w:r>
    </w:p>
    <w:p>
      <w:pPr>
        <w:spacing w:after="120" w:before="240" w:line="480"/>
      </w:pPr>
      <w:r>
        <w:rPr>
          <w:rFonts w:ascii="Arial" w:cs="Arial" w:eastAsia="Arial" w:hAnsi="Arial"/>
          <w:b/>
          <w:bCs/>
          <w:i w:val="false"/>
          <w:iCs w:val="false"/>
          <w:sz w:val="22"/>
          <w:szCs w:val="22"/>
        </w:rPr>
        <w:t xml:space="preserve">Cohort A — Long-term incidence of chronic comorbidities</w:t>
      </w:r>
    </w:p>
    <w:p>
      <w:pPr>
        <w:spacing w:after="0" w:line="480"/>
        <w:ind/>
        <w:jc w:val="both"/>
      </w:pPr>
      <w:r>
        <w:rPr>
          <w:rFonts w:ascii="Arial" w:cs="Arial" w:eastAsia="Arial" w:hAnsi="Arial"/>
          <w:sz w:val="22"/>
          <w:szCs w:val="22"/>
        </w:rPr>
        <w:t xml:space="preserve">Over a mean follow-up of approximately 5.9 years per participant (approximately 12,324 person-years in vaccinated and 15,300 in unvaccinated women for the Any-of-five analysis; person-years varied slightly across individual outcomes owing to prevalent-case exclusions), 59 women experienced any of the five chronic conditions after the index date (29 in vaccinated, incidence rate 2.40 per 1,000 person-years; 30 in unvaccinated, 1.98 per 1,000 person-years), and 28 women died from any cause. Figure 2 displays the Aalen–Johansen cumulative incidence curves for the Any-of-five composite, the Major Cardiovascular Events composite, and each individual condition, alongside a forest plot of cause-specific and Fine–Gray hazard ratios.</w:t>
      </w:r>
    </w:p>
    <w:p>
      <w:pPr>
        <w:spacing w:after="0" w:line="480"/>
        <w:ind w:firstLine="800"/>
        <w:jc w:val="both"/>
      </w:pPr>
      <w:r>
        <w:rPr>
          <w:rFonts w:ascii="Arial" w:cs="Arial" w:eastAsia="Arial" w:hAnsi="Arial"/>
          <w:sz w:val="22"/>
          <w:szCs w:val="22"/>
        </w:rPr>
        <w:t xml:space="preserve">For the inclusive Any-of-five composite, the cluster-robust cause-specific hazard ratio for vaccination was 1.26 (95% confidence interval 0.75 to 2.12, p = 0.38), and the Fine–Gray subdistribution hazard ratio was virtually identical. The two estimators agreed closely throughout, reflecting the low incidence of the competing event of death (28 events). The Schoenfeld residual rank test did not indicate a violation of the proportional-hazards assumption (p = 0.34). For the Major Cardiovascular Events composite, the Schoenfeld test yielded p = 0.045, likely reflecting the sparse event count rather than a genuine departure from proportionality; only five events occurred (three vaccinated, two unvaccinated) yielding a cause-specific hazard ratio of 1.96 with a wide 95% confidence interval of 0.31 to 12.44 (p = 0.47). Among the individual conditions, hazard ratios ranged from 1.25 for diabetes (incidence rates 1.72 vs 1.45 per 1,000 person-years; 95% CI 0.68 to 2.28, p = 0.48) to 1.49 for hypertension (95% CI 0.53 to 4.18, p = 0.45); estimates for stroke and pulmonary embolism could not be obtained because no events occurred in one or both groups, and the Angina/MI estimate was unstable owing to fewer than five events overall (</w:t>
      </w:r>
      <w:r>
        <w:rPr>
          <w:rFonts w:ascii="Arial" w:cs="Arial" w:eastAsia="Arial" w:hAnsi="Arial"/>
          <w:b/>
          <w:bCs/>
          <w:sz w:val="22"/>
          <w:szCs w:val="22"/>
        </w:rPr>
        <w:t xml:space="preserve">Table 2</w:t>
      </w:r>
      <w:r>
        <w:rPr>
          <w:rFonts w:ascii="Arial" w:cs="Arial" w:eastAsia="Arial" w:hAnsi="Arial"/>
          <w:sz w:val="22"/>
          <w:szCs w:val="22"/>
        </w:rPr>
        <w:t xml:space="preserve">). The pseudo-index sensitivity analysis showed concordant Any-of-five hazard ratios across the random-sampling, calendar-year-matched, and risk-set sampling strategies (1.26, 1.27, and 1.21, respectively; Supplementary Table S8), supporting the robustness of the primary estimate. Across all analyses the upper 95% confidence limits of the hazard ratios excluded clinically meaningful protective effects, but the lower limits were also compatible with no association, so we interpret these data as showing no signal of harm and inadequate power to detect modest protective effects.</w:t>
      </w:r>
    </w:p>
    <w:p>
      <w:pPr>
        <w:spacing w:after="120" w:before="240" w:line="480"/>
      </w:pPr>
      <w:r>
        <w:rPr>
          <w:rFonts w:ascii="Arial" w:cs="Arial" w:eastAsia="Arial" w:hAnsi="Arial"/>
          <w:b/>
          <w:bCs/>
          <w:i w:val="false"/>
          <w:iCs w:val="false"/>
          <w:sz w:val="22"/>
          <w:szCs w:val="22"/>
        </w:rPr>
        <w:t xml:space="preserve">Cohort B — Post-surgical vaccine efficacy</w:t>
      </w:r>
    </w:p>
    <w:p>
      <w:pPr>
        <w:spacing w:after="0" w:line="480"/>
        <w:ind/>
        <w:jc w:val="both"/>
      </w:pPr>
      <w:r>
        <w:rPr>
          <w:rFonts w:ascii="Arial" w:cs="Arial" w:eastAsia="Arial" w:hAnsi="Arial"/>
          <w:sz w:val="22"/>
          <w:szCs w:val="22"/>
        </w:rPr>
        <w:t xml:space="preserve">Over a median follow-up of 4.88 years (interquartile range 3.33 to 8.57) in the vaccinated group and 5.02 years (3.42 to 8.71) in controls, contributing 1,474 vaccinated and 5,308 unvaccinated person-years, 70 women experienced biopsy-confirmed lesion recurrence (13 of 241 vaccinated, incidence rate 8.82 per 1,000 person-years; 57 of 867 controls, 10.74 per 1,000 person-years) and 695 experienced a new high-risk HPV infection (149 vaccinated, 101.08 per 1,000 person-years; 546 controls, 102.86 per 1,000 person-years). In age-adjusted Cox models with cluster-robust standard errors using the fine-matching identifier, vaccination was not significantly associated with recurrence (hazard ratio 0.76, 95% confidence interval 0.43 to 1.33, p = 0.34) or with HPV reinfection (hazard ratio 0.97, 95% confidence interval 0.83 to 1.14, p = 0.71). The Schoenfeld residual rank test did not indicate violation of the proportional-hazards assumption for either outcome (p = 0.59 for recurrence and p = 0.12 for HPV reinfection on the vaccinated covariate). Cumulative incidence curves and the corresponding hazard ratios are shown in </w:t>
      </w:r>
      <w:r>
        <w:rPr>
          <w:rFonts w:ascii="Arial" w:cs="Arial" w:eastAsia="Arial" w:hAnsi="Arial"/>
          <w:b/>
          <w:bCs/>
          <w:sz w:val="22"/>
          <w:szCs w:val="22"/>
        </w:rPr>
        <w:t xml:space="preserve">Figure 3</w:t>
      </w:r>
      <w:r>
        <w:rPr>
          <w:rFonts w:ascii="Arial" w:cs="Arial" w:eastAsia="Arial" w:hAnsi="Arial"/>
          <w:sz w:val="22"/>
          <w:szCs w:val="22"/>
        </w:rPr>
        <w:t xml:space="preserve"> and </w:t>
      </w:r>
      <w:r>
        <w:rPr>
          <w:rFonts w:ascii="Arial" w:cs="Arial" w:eastAsia="Arial" w:hAnsi="Arial"/>
          <w:b/>
          <w:bCs/>
          <w:sz w:val="22"/>
          <w:szCs w:val="22"/>
        </w:rPr>
        <w:t xml:space="preserve">Table 3</w:t>
      </w:r>
      <w:r>
        <w:rPr>
          <w:rFonts w:ascii="Arial" w:cs="Arial" w:eastAsia="Arial" w:hAnsi="Arial"/>
          <w:sz w:val="22"/>
          <w:szCs w:val="22"/>
        </w:rPr>
        <w:t xml:space="preserve">.</w:t>
      </w:r>
    </w:p>
    <w:p>
      <w:pPr>
        <w:spacing w:after="0" w:line="480"/>
        <w:ind w:firstLine="800"/>
        <w:jc w:val="both"/>
      </w:pPr>
      <w:r>
        <w:rPr>
          <w:rFonts w:ascii="Arial" w:cs="Arial" w:eastAsia="Arial" w:hAnsi="Arial"/>
          <w:sz w:val="22"/>
          <w:szCs w:val="22"/>
        </w:rPr>
        <w:t xml:space="preserve">Pre-specified subgroup analyses by age at index (&lt;40, 40–49, ≥50 years) and by vaccine type (Gardasil 9, Cervarix, quadrivalent Gardasil) are presented as a single combined forest plot for both primary outcomes (</w:t>
      </w:r>
      <w:r>
        <w:rPr>
          <w:rFonts w:ascii="Arial" w:cs="Arial" w:eastAsia="Arial" w:hAnsi="Arial"/>
          <w:b/>
          <w:bCs/>
          <w:sz w:val="22"/>
          <w:szCs w:val="22"/>
        </w:rPr>
        <w:t xml:space="preserve">Figure 4</w:t>
      </w:r>
      <w:r>
        <w:rPr>
          <w:rFonts w:ascii="Arial" w:cs="Arial" w:eastAsia="Arial" w:hAnsi="Arial"/>
          <w:sz w:val="22"/>
          <w:szCs w:val="22"/>
        </w:rPr>
        <w:t xml:space="preserve">). To formally test heterogeneity by vaccine type while avoiding the dependence created by reusing non-vaccinated controls across pairwise vaccine subgroups, we fitted a single age-adjusted Cox model with vaccination, vaccine-type indicators (Gardasil 9 reference), and vaccine-type × vaccination interaction terms; the matched cluster identifier was used for robust standard errors. The likelihood-ratio test for vaccine-type heterogeneity was non-significant for lesion recurrence (χ² = 0.27 on 2 degrees of freedom, p = 0.87) but significant for HPV reinfection (χ² = 6.60 on 2 degrees of freedom, p = 0.037), supporting differential effects across products for the latter outcome. Within this single-model formulation the type-specific HPV-reinfection hazard ratios were 1.10 for Gardasil 9 (95% CI 0.90 to 1.33), 1.11 for Cervarix (95% CI 0.81 to 1.51), and 0.49 for the quadrivalent Gardasil (95% CI 0.26 to 0.93), in line with the previously observed quadrivalent-specific protective signal. Within the pre-specified age strata, none of the subgroups reached the nominal 0.05 threshold for lesion recurrence, and the test for age × vaccination interaction was non-significant for both outcomes (lesion recurrence p = 0.19; HPV reinfection p = 0.15). Both the vaccine-type interaction signal and the age-stratified subgroup pattern are interpreted as hypothesis-generating findings rather than confirmatory; a separate exploratory finding identified by a grid search over many overlapping age ranges and follow-up windows (a 2-year-censored estimate among women aged 30 to 52 years, hazard ratio 0.23, 95% CI 0.06 to 0.96, p = 0.04) is acknowledged in the limitations section as a single nominally significant cell among approximately 6,900 combinations tested (overall significance rate 0.2%), is not displayed in the main figure, and is not used to support any inference.</w:t>
      </w:r>
    </w:p>
    <w:p>
      <w:pPr>
        <w:spacing w:after="0" w:line="480"/>
        <w:ind w:firstLine="800"/>
        <w:jc w:val="both"/>
      </w:pPr>
      <w:r>
        <w:rPr>
          <w:rFonts w:ascii="Arial" w:cs="Arial" w:eastAsia="Arial" w:hAnsi="Arial"/>
          <w:sz w:val="22"/>
          <w:szCs w:val="22"/>
        </w:rPr>
        <w:t xml:space="preserve">Sensitivity analyses corroborated the primary findings. Restricting the vaccinated arm to women with at least two and at least three (complete schedule) recorded doses produced a monotonic strengthening of the lesion-recurrence point estimate (hazard ratios 0.71 and 0.61 at the two thresholds, both with non-significant 95% confidence intervals) and essentially unchanged estimates for HPV reinfection (hazard ratios 0.96 and 1.02), so that no dose-completeness scenario altered the qualitative conclusions (Supplementary Table on dose threshold). A strict 1:4 fine-matched alternative dropped 48 of 241 vaccinated cases (20%) and approximately 16% of recurrence events but yielded essentially identical hazard ratio estimates (lesion recurrence 0.69, 95% CI 0.36–1.33; HPV reinfection 0.94, 95% CI 0.79–1.12), supporting the choice of the variable-ratio primary specification (Supplementary Table on strict matching).</w:t>
      </w:r>
    </w:p>
    <w:p>
      <w:pPr>
        <w:spacing w:after="0" w:line="480"/>
        <w:ind w:firstLine="800"/>
        <w:jc w:val="both"/>
      </w:pPr>
      <w:r>
        <w:rPr>
          <w:rFonts w:ascii="Arial" w:cs="Arial" w:eastAsia="Arial" w:hAnsi="Arial"/>
          <w:sz w:val="22"/>
          <w:szCs w:val="22"/>
        </w:rPr>
        <w:t xml:space="preserve">The pre-specified landmark sensitivity for the post-index hr-HPV detection outcome, designed to separate persistence of the pre-surgical infection from new acquisition, modified the inference. Of the 695 women with any post-index hr-HPV positivity, 326 (47%) had their first positive record within 6 months of the index date and 494 (71%) within 12 months — a temporal pattern more consistent with incomplete clearance of the pre-surgical infection than with new acquisition, as the latter would be expected to accumulate gradually over time. When the at-risk clock was advanced to 6 months, 12 months, and 24 months post-index, the age-adjusted hazard ratio for vaccination shifted toward the null and slightly above unity in each case (HR 1.18, 95% CI 0.94–1.48 at 6 months; HR 1.15, 95% CI 0.84–1.57 at 12 months; HR 1.08, 95% CI 0.74–1.57 at 24 months; Supplementary Table on HPV outcome landmark). The slight protective trend in the primary HR (0.91) is therefore plausibly attributable to faster clearance of pre-surgical viral DNA in the vaccinated arm rather than to protection against new HPV acquisition, and we interpret the data as showing no evidence of post-surgical vaccine efficacy against new high-risk HPV acquisition in this cohort.</w:t>
      </w:r>
    </w:p>
    <w:p>
      <w:pPr>
        <w:spacing w:after="0" w:line="480"/>
        <w:ind w:firstLine="800"/>
        <w:jc w:val="both"/>
      </w:pPr>
      <w:r>
        <w:rPr>
          <w:rFonts w:ascii="Arial" w:cs="Arial" w:eastAsia="Arial" w:hAnsi="Arial"/>
          <w:sz w:val="22"/>
          <w:szCs w:val="22"/>
        </w:rPr>
        <w:t xml:space="preserve">Pre-specified sensitivity analyses (Supplementary Table S3) restricting follow-up to three and five years, and comparing age-adjusted with unadjusted Cox models, did not materially alter the overall null findings.</w:t>
      </w:r>
    </w:p>
    <w:p>
      <w:pPr>
        <w:pageBreakBefore/>
        <w:spacing w:after="200" w:line="360"/>
        <w:jc w:val="left"/>
      </w:pPr>
      <w:r>
        <w:rPr>
          <w:rFonts w:ascii="Arial" w:cs="Arial" w:eastAsia="Arial" w:hAnsi="Arial"/>
          <w:b/>
          <w:bCs/>
          <w:sz w:val="28"/>
          <w:szCs w:val="28"/>
        </w:rPr>
        <w:t xml:space="preserve">Tables and Figures</w:t>
      </w:r>
    </w:p>
    <w:p>
      <w:pPr>
        <w:spacing w:after="0" w:line="480"/>
        <w:ind/>
        <w:jc w:val="both"/>
      </w:pPr>
      <w:r>
        <w:rPr>
          <w:rFonts w:ascii="Arial" w:cs="Arial" w:eastAsia="Arial" w:hAnsi="Arial"/>
          <w:sz w:val="22"/>
          <w:szCs w:val="22"/>
        </w:rPr>
        <w:t xml:space="preserve">(planned)</w:t>
      </w:r>
    </w:p>
    <w:p>
      <w:pPr>
        <w:spacing w:after="120" w:before="240" w:line="480"/>
      </w:pPr>
      <w:r>
        <w:rPr>
          <w:rFonts w:ascii="Arial" w:cs="Arial" w:eastAsia="Arial" w:hAnsi="Arial"/>
          <w:b/>
          <w:bCs/>
          <w:i w:val="false"/>
          <w:iCs w:val="false"/>
          <w:sz w:val="22"/>
          <w:szCs w:val="22"/>
        </w:rPr>
        <w:t xml:space="preserve">Main tables and figures</w:t>
      </w:r>
    </w:p>
    <w:p>
      <w:pPr>
        <w:spacing w:after="0" w:line="480"/>
        <w:ind/>
        <w:jc w:val="both"/>
      </w:pPr>
      <w:r>
        <w:rPr>
          <w:rFonts w:ascii="Arial" w:cs="Arial" w:eastAsia="Arial" w:hAnsi="Arial"/>
          <w:sz w:val="22"/>
          <w:szCs w:val="22"/>
        </w:rPr>
        <w:t xml:space="preserve">- </w:t>
      </w:r>
      <w:r>
        <w:rPr>
          <w:rFonts w:ascii="Arial" w:cs="Arial" w:eastAsia="Arial" w:hAnsi="Arial"/>
          <w:b/>
          <w:bCs/>
          <w:sz w:val="22"/>
          <w:szCs w:val="22"/>
        </w:rPr>
        <w:t xml:space="preserve">Figure 1</w:t>
      </w:r>
      <w:r>
        <w:rPr>
          <w:rFonts w:ascii="Arial" w:cs="Arial" w:eastAsia="Arial" w:hAnsi="Arial"/>
          <w:sz w:val="22"/>
          <w:szCs w:val="22"/>
        </w:rPr>
        <w:t xml:space="preserve">. CONSORT-style cohort selection flow diagram showing derivation of Cohort A (whole-cohort safety analysis) and Cohort B (post-surgical efficacy analysis) from the single source population. File: `Data/Figure1_CohortSelection.png`.
- </w:t>
      </w:r>
      <w:r>
        <w:rPr>
          <w:rFonts w:ascii="Arial" w:cs="Arial" w:eastAsia="Arial" w:hAnsi="Arial"/>
          <w:b/>
          <w:bCs/>
          <w:sz w:val="22"/>
          <w:szCs w:val="22"/>
        </w:rPr>
        <w:t xml:space="preserve">Figure 2</w:t>
      </w:r>
      <w:r>
        <w:rPr>
          <w:rFonts w:ascii="Arial" w:cs="Arial" w:eastAsia="Arial" w:hAnsi="Arial"/>
          <w:sz w:val="22"/>
          <w:szCs w:val="22"/>
        </w:rPr>
        <w:t xml:space="preserve">. Cumulative incidence functions (Aalen–Johansen estimator) and forest plot of cause-specific and Fine–Gray subdistribution hazard ratios for Cohort A. File: `Data/Figure2_CohortA_CIF_HR.png`.
- </w:t>
      </w:r>
      <w:r>
        <w:rPr>
          <w:rFonts w:ascii="Arial" w:cs="Arial" w:eastAsia="Arial" w:hAnsi="Arial"/>
          <w:b/>
          <w:bCs/>
          <w:sz w:val="22"/>
          <w:szCs w:val="22"/>
        </w:rPr>
        <w:t xml:space="preserve">Figure 3</w:t>
      </w:r>
      <w:r>
        <w:rPr>
          <w:rFonts w:ascii="Arial" w:cs="Arial" w:eastAsia="Arial" w:hAnsi="Arial"/>
          <w:sz w:val="22"/>
          <w:szCs w:val="22"/>
        </w:rPr>
        <w:t xml:space="preserve">. Cumulative incidence (1 − Kaplan–Meier) curves with number-at-risk tables for biopsy-confirmed lesion recurrence and high-risk HPV reinfection in Cohort B. File: `Data/Figure3_CohortB_CIF.png`.
- </w:t>
      </w:r>
      <w:r>
        <w:rPr>
          <w:rFonts w:ascii="Arial" w:cs="Arial" w:eastAsia="Arial" w:hAnsi="Arial"/>
          <w:b/>
          <w:bCs/>
          <w:sz w:val="22"/>
          <w:szCs w:val="22"/>
        </w:rPr>
        <w:t xml:space="preserve">Figure 4</w:t>
      </w:r>
      <w:r>
        <w:rPr>
          <w:rFonts w:ascii="Arial" w:cs="Arial" w:eastAsia="Arial" w:hAnsi="Arial"/>
          <w:sz w:val="22"/>
          <w:szCs w:val="22"/>
        </w:rPr>
        <w:t xml:space="preserve">. Combined subgroup forest plot for Cohort B (Overall, by age at index, by vaccine type), reported separately for lesion recurrence and HPV reinfection in a JAMA-style table-with-forest layout including event counts, hazard ratios with 95% confidence intervals, and the likelihood-ratio test for interaction. File: `Data/Figure4_CohortB_Subgroup.png`.
- </w:t>
      </w:r>
      <w:r>
        <w:rPr>
          <w:rFonts w:ascii="Arial" w:cs="Arial" w:eastAsia="Arial" w:hAnsi="Arial"/>
          <w:b/>
          <w:bCs/>
          <w:sz w:val="22"/>
          <w:szCs w:val="22"/>
        </w:rPr>
        <w:t xml:space="preserve">Table 1</w:t>
      </w:r>
      <w:r>
        <w:rPr>
          <w:rFonts w:ascii="Arial" w:cs="Arial" w:eastAsia="Arial" w:hAnsi="Arial"/>
          <w:sz w:val="22"/>
          <w:szCs w:val="22"/>
        </w:rPr>
        <w:t xml:space="preserve">. Baseline characteristics of analytic cohorts after matching, with absolute standardised mean differences. Source: `Data/Table1_BaselineCharacteristics_unified.docx` (post-matching blocks).
- </w:t>
      </w:r>
      <w:r>
        <w:rPr>
          <w:rFonts w:ascii="Arial" w:cs="Arial" w:eastAsia="Arial" w:hAnsi="Arial"/>
          <w:b/>
          <w:bCs/>
          <w:sz w:val="22"/>
          <w:szCs w:val="22"/>
        </w:rPr>
        <w:t xml:space="preserve">Table 2</w:t>
      </w:r>
      <w:r>
        <w:rPr>
          <w:rFonts w:ascii="Arial" w:cs="Arial" w:eastAsia="Arial" w:hAnsi="Arial"/>
          <w:sz w:val="22"/>
          <w:szCs w:val="22"/>
        </w:rPr>
        <w:t xml:space="preserve">. Cohort A — events, cause-specific hazard ratios, and Fine–Gray subdistribution hazard ratios for each endpoint. Source: `Data/cohort_a_psm_hr_results.csv`.
- </w:t>
      </w:r>
      <w:r>
        <w:rPr>
          <w:rFonts w:ascii="Arial" w:cs="Arial" w:eastAsia="Arial" w:hAnsi="Arial"/>
          <w:b/>
          <w:bCs/>
          <w:sz w:val="22"/>
          <w:szCs w:val="22"/>
        </w:rPr>
        <w:t xml:space="preserve">Table 3</w:t>
      </w:r>
      <w:r>
        <w:rPr>
          <w:rFonts w:ascii="Arial" w:cs="Arial" w:eastAsia="Arial" w:hAnsi="Arial"/>
          <w:sz w:val="22"/>
          <w:szCs w:val="22"/>
        </w:rPr>
        <w:t xml:space="preserve">. Cohort B — events, age-adjusted Cox hazard ratios (95% confidence intervals), and p-values for lesion recurrence and high-risk HPV reinfection. Source: `Data/final_matched_summary.csv` and Cox results from `scripts/analyze_cohort.py`.</w:t>
      </w:r>
    </w:p>
    <w:p>
      <w:pPr>
        <w:spacing w:after="120" w:before="240" w:line="480"/>
      </w:pPr>
      <w:r>
        <w:rPr>
          <w:rFonts w:ascii="Arial" w:cs="Arial" w:eastAsia="Arial" w:hAnsi="Arial"/>
          <w:b/>
          <w:bCs/>
          <w:i w:val="false"/>
          <w:iCs w:val="false"/>
          <w:sz w:val="22"/>
          <w:szCs w:val="22"/>
        </w:rPr>
        <w:t xml:space="preserve">Supplementary materials</w:t>
      </w:r>
    </w:p>
    <w:p>
      <w:pPr>
        <w:spacing w:after="0" w:line="480"/>
        <w:ind/>
        <w:jc w:val="both"/>
      </w:pPr>
      <w:r>
        <w:rPr>
          <w:rFonts w:ascii="Arial" w:cs="Arial" w:eastAsia="Arial" w:hAnsi="Arial"/>
          <w:sz w:val="22"/>
          <w:szCs w:val="22"/>
        </w:rPr>
        <w:t xml:space="preserve">- </w:t>
      </w:r>
      <w:r>
        <w:rPr>
          <w:rFonts w:ascii="Arial" w:cs="Arial" w:eastAsia="Arial" w:hAnsi="Arial"/>
          <w:b/>
          <w:bCs/>
          <w:sz w:val="22"/>
          <w:szCs w:val="22"/>
        </w:rPr>
        <w:t xml:space="preserve">Supplementary Figure S1</w:t>
      </w:r>
      <w:r>
        <w:rPr>
          <w:rFonts w:ascii="Arial" w:cs="Arial" w:eastAsia="Arial" w:hAnsi="Arial"/>
          <w:sz w:val="22"/>
          <w:szCs w:val="22"/>
        </w:rPr>
        <w:t xml:space="preserve">. Love plot — covariate balance before and after 1:1 propensity score matching (Cohort A). File: `Data/SupFigS1_loveplot_cohortA.png`.
- </w:t>
      </w:r>
      <w:r>
        <w:rPr>
          <w:rFonts w:ascii="Arial" w:cs="Arial" w:eastAsia="Arial" w:hAnsi="Arial"/>
          <w:b/>
          <w:bCs/>
          <w:sz w:val="22"/>
          <w:szCs w:val="22"/>
        </w:rPr>
        <w:t xml:space="preserve">Supplementary Figure S2</w:t>
      </w:r>
      <w:r>
        <w:rPr>
          <w:rFonts w:ascii="Arial" w:cs="Arial" w:eastAsia="Arial" w:hAnsi="Arial"/>
          <w:sz w:val="22"/>
          <w:szCs w:val="22"/>
        </w:rPr>
        <w:t xml:space="preserve">. Love plot — covariate balance before and after fine variable-ratio (1:up-to-4) matching (Cohort B). File: `Data/SupFigS2_loveplot_cohortB.png`.
- </w:t>
      </w:r>
      <w:r>
        <w:rPr>
          <w:rFonts w:ascii="Arial" w:cs="Arial" w:eastAsia="Arial" w:hAnsi="Arial"/>
          <w:b/>
          <w:bCs/>
          <w:sz w:val="22"/>
          <w:szCs w:val="22"/>
        </w:rPr>
        <w:t xml:space="preserve">Supplementary Figure S3</w:t>
      </w:r>
      <w:r>
        <w:rPr>
          <w:rFonts w:ascii="Arial" w:cs="Arial" w:eastAsia="Arial" w:hAnsi="Arial"/>
          <w:sz w:val="22"/>
          <w:szCs w:val="22"/>
        </w:rPr>
        <w:t xml:space="preserve">. Propensity-score density distributions, before and after matching. File: `Data/SupFigS3_ps_density.png`.
- </w:t>
      </w:r>
      <w:r>
        <w:rPr>
          <w:rFonts w:ascii="Arial" w:cs="Arial" w:eastAsia="Arial" w:hAnsi="Arial"/>
          <w:b/>
          <w:bCs/>
          <w:sz w:val="22"/>
          <w:szCs w:val="22"/>
        </w:rPr>
        <w:t xml:space="preserve">Supplementary Figure S4</w:t>
      </w:r>
      <w:r>
        <w:rPr>
          <w:rFonts w:ascii="Arial" w:cs="Arial" w:eastAsia="Arial" w:hAnsi="Arial"/>
          <w:sz w:val="22"/>
          <w:szCs w:val="22"/>
        </w:rPr>
        <w:t xml:space="preserve">. Schoenfeld residual plots for Cohort A primary models (Any-of-5, Diabetes). Files: `Data/PH_check_A_</w:t>
      </w:r>
      <w:r>
        <w:rPr>
          <w:rFonts w:ascii="Arial" w:cs="Arial" w:eastAsia="Arial" w:hAnsi="Arial"/>
          <w:i/>
          <w:iCs/>
          <w:sz w:val="22"/>
          <w:szCs w:val="22"/>
        </w:rPr>
        <w:t xml:space="preserve">.png`.
- </w:t>
      </w:r>
      <w:r>
        <w:rPr>
          <w:rFonts w:ascii="Arial" w:cs="Arial" w:eastAsia="Arial" w:hAnsi="Arial"/>
          <w:i/>
          <w:iCs/>
          <w:sz w:val="22"/>
          <w:szCs w:val="22"/>
        </w:rPr>
        <w:t xml:space="preserve">Supplementary Figure S5</w:t>
      </w:r>
      <w:r>
        <w:rPr>
          <w:rFonts w:ascii="Arial" w:cs="Arial" w:eastAsia="Arial" w:hAnsi="Arial"/>
          <w:i/>
          <w:iCs/>
          <w:sz w:val="22"/>
          <w:szCs w:val="22"/>
        </w:rPr>
        <w:t xml:space="preserve">. Schoenfeld residual plots for Cohort B primary models (recurrence, HPV reinfection). Files: `Data/PH_check_B_</w:t>
      </w:r>
      <w:r>
        <w:rPr>
          <w:rFonts w:ascii="Arial" w:cs="Arial" w:eastAsia="Arial" w:hAnsi="Arial"/>
          <w:sz w:val="22"/>
          <w:szCs w:val="22"/>
        </w:rPr>
        <w:t xml:space="preserve">.png`.
- </w:t>
      </w:r>
      <w:r>
        <w:rPr>
          <w:rFonts w:ascii="Arial" w:cs="Arial" w:eastAsia="Arial" w:hAnsi="Arial"/>
          <w:b/>
          <w:bCs/>
          <w:sz w:val="22"/>
          <w:szCs w:val="22"/>
        </w:rPr>
        <w:t xml:space="preserve">Supplementary Table S1</w:t>
      </w:r>
      <w:r>
        <w:rPr>
          <w:rFonts w:ascii="Arial" w:cs="Arial" w:eastAsia="Arial" w:hAnsi="Arial"/>
          <w:sz w:val="22"/>
          <w:szCs w:val="22"/>
        </w:rPr>
        <w:t xml:space="preserve">. Pre-matching baseline characteristics with the same variable list as Table 1. File: `Data/Table1_BaselineCharacteristics_unified.docx` (pre-matching blocks).
- </w:t>
      </w:r>
      <w:r>
        <w:rPr>
          <w:rFonts w:ascii="Arial" w:cs="Arial" w:eastAsia="Arial" w:hAnsi="Arial"/>
          <w:b/>
          <w:bCs/>
          <w:sz w:val="22"/>
          <w:szCs w:val="22"/>
        </w:rPr>
        <w:t xml:space="preserve">Supplementary Table S2</w:t>
      </w:r>
      <w:r>
        <w:rPr>
          <w:rFonts w:ascii="Arial" w:cs="Arial" w:eastAsia="Arial" w:hAnsi="Arial"/>
          <w:sz w:val="22"/>
          <w:szCs w:val="22"/>
        </w:rPr>
        <w:t xml:space="preserve">. Propensity-score model coefficients (logistic regression) for Cohort A. File: `Data/SupTableS2_ps_coefficients.docx`.
- </w:t>
      </w:r>
      <w:r>
        <w:rPr>
          <w:rFonts w:ascii="Arial" w:cs="Arial" w:eastAsia="Arial" w:hAnsi="Arial"/>
          <w:b/>
          <w:bCs/>
          <w:sz w:val="22"/>
          <w:szCs w:val="22"/>
        </w:rPr>
        <w:t xml:space="preserve">Supplementary Table S3</w:t>
      </w:r>
      <w:r>
        <w:rPr>
          <w:rFonts w:ascii="Arial" w:cs="Arial" w:eastAsia="Arial" w:hAnsi="Arial"/>
          <w:sz w:val="22"/>
          <w:szCs w:val="22"/>
        </w:rPr>
        <w:t xml:space="preserve">. Sensitivity analyses for Cohort B (restricted follow-up; adjusted vs. unadjusted). File: `Data/sensitivity_analysis_results.csv`.
- </w:t>
      </w:r>
      <w:r>
        <w:rPr>
          <w:rFonts w:ascii="Arial" w:cs="Arial" w:eastAsia="Arial" w:hAnsi="Arial"/>
          <w:b/>
          <w:bCs/>
          <w:sz w:val="22"/>
          <w:szCs w:val="22"/>
        </w:rPr>
        <w:t xml:space="preserve">Supplementary Table S4</w:t>
      </w:r>
      <w:r>
        <w:rPr>
          <w:rFonts w:ascii="Arial" w:cs="Arial" w:eastAsia="Arial" w:hAnsi="Arial"/>
          <w:sz w:val="22"/>
          <w:szCs w:val="22"/>
        </w:rPr>
        <w:t xml:space="preserve">. Age-stratified hazard ratios for Cohort B (lesion recurrence) across follow-up windows. File: `Data/SupTableS4_revised_age_fu_forest.docx` and `Data/CohortB_age_fu_forest.csv`. The full grid-search version (≈6,900 combinations) used to identify the post-hoc 30–52 year stratum is retained for transparency in `Data/sensitivity_age_cutoff.csv`.
- </w:t>
      </w:r>
      <w:r>
        <w:rPr>
          <w:rFonts w:ascii="Arial" w:cs="Arial" w:eastAsia="Arial" w:hAnsi="Arial"/>
          <w:b/>
          <w:bCs/>
          <w:sz w:val="22"/>
          <w:szCs w:val="22"/>
        </w:rPr>
        <w:t xml:space="preserve">Supplementary Table S5</w:t>
      </w:r>
      <w:r>
        <w:rPr>
          <w:rFonts w:ascii="Arial" w:cs="Arial" w:eastAsia="Arial" w:hAnsi="Arial"/>
          <w:sz w:val="22"/>
          <w:szCs w:val="22"/>
        </w:rPr>
        <w:t xml:space="preserve">. Number-at-risk tables for Kaplan–Meier and Aalen–Johansen curves. File: `Data/SupTableS5_number_at_risk.docx`.
- </w:t>
      </w:r>
      <w:r>
        <w:rPr>
          <w:rFonts w:ascii="Arial" w:cs="Arial" w:eastAsia="Arial" w:hAnsi="Arial"/>
          <w:b/>
          <w:bCs/>
          <w:sz w:val="22"/>
          <w:szCs w:val="22"/>
        </w:rPr>
        <w:t xml:space="preserve">Supplementary Table S6</w:t>
      </w:r>
      <w:r>
        <w:rPr>
          <w:rFonts w:ascii="Arial" w:cs="Arial" w:eastAsia="Arial" w:hAnsi="Arial"/>
          <w:sz w:val="22"/>
          <w:szCs w:val="22"/>
        </w:rPr>
        <w:t xml:space="preserve">. Per-vaccine-type detailed results — both pairwise subgroup hazard ratios and single-model interaction-derived hazard ratios with the LRT for vaccine-type heterogeneity. Files: `Data/vaccine_type_analysis.csv`, `Data/CohortB_vaccine_interaction.csv`.
- </w:t>
      </w:r>
      <w:r>
        <w:rPr>
          <w:rFonts w:ascii="Arial" w:cs="Arial" w:eastAsia="Arial" w:hAnsi="Arial"/>
          <w:b/>
          <w:bCs/>
          <w:sz w:val="22"/>
          <w:szCs w:val="22"/>
        </w:rPr>
        <w:t xml:space="preserve">Supplementary Table S7</w:t>
      </w:r>
      <w:r>
        <w:rPr>
          <w:rFonts w:ascii="Arial" w:cs="Arial" w:eastAsia="Arial" w:hAnsi="Arial"/>
          <w:sz w:val="22"/>
          <w:szCs w:val="22"/>
        </w:rPr>
        <w:t xml:space="preserve">. Cluster-robust hazard ratios with person-years, incidence rates, and Schoenfeld residual p-values for both cohorts. File: `Data/Methodology_Revisions.docx` (Tables R1–R2).
- </w:t>
      </w:r>
      <w:r>
        <w:rPr>
          <w:rFonts w:ascii="Arial" w:cs="Arial" w:eastAsia="Arial" w:hAnsi="Arial"/>
          <w:b/>
          <w:bCs/>
          <w:sz w:val="22"/>
          <w:szCs w:val="22"/>
        </w:rPr>
        <w:t xml:space="preserve">Supplementary Table S8</w:t>
      </w:r>
      <w:r>
        <w:rPr>
          <w:rFonts w:ascii="Arial" w:cs="Arial" w:eastAsia="Arial" w:hAnsi="Arial"/>
          <w:sz w:val="22"/>
          <w:szCs w:val="22"/>
        </w:rPr>
        <w:t xml:space="preserve">. Pseudo-index assignment sensitivity analysis for Cohort A (Any-of-five). File: `Data/CohortA_pseudoindex_sensitivity.csv`.
- </w:t>
      </w:r>
      <w:r>
        <w:rPr>
          <w:rFonts w:ascii="Arial" w:cs="Arial" w:eastAsia="Arial" w:hAnsi="Arial"/>
          <w:b/>
          <w:bCs/>
          <w:sz w:val="22"/>
          <w:szCs w:val="22"/>
        </w:rPr>
        <w:t xml:space="preserve">Supplementary Table S9</w:t>
      </w:r>
      <w:r>
        <w:rPr>
          <w:rFonts w:ascii="Arial" w:cs="Arial" w:eastAsia="Arial" w:hAnsi="Arial"/>
          <w:sz w:val="22"/>
          <w:szCs w:val="22"/>
        </w:rPr>
        <w:t xml:space="preserve">. Dose-threshold sensitivity for both cohorts — re-fitted hazard ratios under ≥1, ≥2, and ≥3 (complete schedule) dose definitions. File: `Data/Sensitivity_DoseThreshold_HR.csv`.
- </w:t>
      </w:r>
      <w:r>
        <w:rPr>
          <w:rFonts w:ascii="Arial" w:cs="Arial" w:eastAsia="Arial" w:hAnsi="Arial"/>
          <w:b/>
          <w:bCs/>
          <w:sz w:val="22"/>
          <w:szCs w:val="22"/>
        </w:rPr>
        <w:t xml:space="preserve">Supplementary Table S10</w:t>
      </w:r>
      <w:r>
        <w:rPr>
          <w:rFonts w:ascii="Arial" w:cs="Arial" w:eastAsia="Arial" w:hAnsi="Arial"/>
          <w:sz w:val="22"/>
          <w:szCs w:val="22"/>
        </w:rPr>
        <w:t xml:space="preserve">. Strict 1:4 fine-matching sensitivity for Cohort B — primary outcomes under the variable-ratio (primary) and strict (sensitivity) specifications. File: `Data/Sensitivity_StrictMatching.csv`.
- </w:t>
      </w:r>
      <w:r>
        <w:rPr>
          <w:rFonts w:ascii="Arial" w:cs="Arial" w:eastAsia="Arial" w:hAnsi="Arial"/>
          <w:b/>
          <w:bCs/>
          <w:sz w:val="22"/>
          <w:szCs w:val="22"/>
        </w:rPr>
        <w:t xml:space="preserve">Supplementary Table S11</w:t>
      </w:r>
      <w:r>
        <w:rPr>
          <w:rFonts w:ascii="Arial" w:cs="Arial" w:eastAsia="Arial" w:hAnsi="Arial"/>
          <w:sz w:val="22"/>
          <w:szCs w:val="22"/>
        </w:rPr>
        <w:t xml:space="preserve">. Prescription-code vs. drug-name exposure-ascertainment cross-validation. File: `Data/Sensitivity_PrescriptionCode.csv`.
- </w:t>
      </w:r>
      <w:r>
        <w:rPr>
          <w:rFonts w:ascii="Arial" w:cs="Arial" w:eastAsia="Arial" w:hAnsi="Arial"/>
          <w:b/>
          <w:bCs/>
          <w:sz w:val="22"/>
          <w:szCs w:val="22"/>
        </w:rPr>
        <w:t xml:space="preserve">Supplementary Table S12</w:t>
      </w:r>
      <w:r>
        <w:rPr>
          <w:rFonts w:ascii="Arial" w:cs="Arial" w:eastAsia="Arial" w:hAnsi="Arial"/>
          <w:sz w:val="22"/>
          <w:szCs w:val="22"/>
        </w:rPr>
        <w:t xml:space="preserve">. Vaccine-type recipient patterns including mixed-product recipients. File: `Data/Sensitivity_MixedVaccineType.csv`.
- </w:t>
      </w:r>
      <w:r>
        <w:rPr>
          <w:rFonts w:ascii="Arial" w:cs="Arial" w:eastAsia="Arial" w:hAnsi="Arial"/>
          <w:b/>
          <w:bCs/>
          <w:sz w:val="22"/>
          <w:szCs w:val="22"/>
        </w:rPr>
        <w:t xml:space="preserve">Supplementary Table S13</w:t>
      </w:r>
      <w:r>
        <w:rPr>
          <w:rFonts w:ascii="Arial" w:cs="Arial" w:eastAsia="Arial" w:hAnsi="Arial"/>
          <w:sz w:val="22"/>
          <w:szCs w:val="22"/>
        </w:rPr>
        <w:t xml:space="preserve">. Landmark sensitivity analysis for the post-index hr-HPV detection outcome — re-estimated hazard ratios after advancing the at-risk clock to 6, 12, and 24 months post-index. File: `Data/Sensitivity_HPV_Landmark.csv`.</w:t>
      </w:r>
    </w:p>
    <w:p>
      <w:pPr>
        <w:spacing w:after="120" w:before="240" w:line="480"/>
      </w:pPr>
      <w:r>
        <w:rPr>
          <w:rFonts w:ascii="Arial" w:cs="Arial" w:eastAsia="Arial" w:hAnsi="Arial"/>
          <w:b/>
          <w:bCs/>
          <w:i w:val="false"/>
          <w:iCs w:val="false"/>
          <w:sz w:val="22"/>
          <w:szCs w:val="22"/>
        </w:rPr>
        <w:t xml:space="preserve">Recommended graphical abstract</w:t>
      </w:r>
    </w:p>
    <w:p>
      <w:pPr>
        <w:spacing w:after="0" w:line="480"/>
        <w:ind/>
        <w:jc w:val="both"/>
      </w:pPr>
      <w:r>
        <w:rPr>
          <w:rFonts w:ascii="Arial" w:cs="Arial" w:eastAsia="Arial" w:hAnsi="Arial"/>
          <w:sz w:val="22"/>
          <w:szCs w:val="22"/>
        </w:rPr>
        <w:t xml:space="preserve">A landscape (1200 × 600 px) graphical abstract is recommended with three panels:
(i) Source cohort silhouette ("Korean HPV cohort, N = 32,969") branching into Cohort A (n = 4,102) and Cohort B (n = 1,108);
(ii) Cohort A icon (heart + brain + lung representing MCE; pancreas + kidney representing HTN/DM) labelled "No association with chronic disease incidence (HR 1.26, 95% CI 0.75–2.12 for Any-of-5)";
(iii) Cohort B icon (cervix + scalpel + needle) labelled "Post-surgical efficacy: no overall benefit; quadrivalent vaccine reduced HPV reinfection (HR 0.49, interaction LRT p = 0.037)".</w:t>
      </w:r>
    </w:p>
    <w:p>
      <w:pPr>
        <w:spacing w:after="0" w:line="480"/>
        <w:ind w:firstLine="800"/>
        <w:jc w:val="both"/>
      </w:pPr>
      <w:r>
        <w:rPr>
          <w:rFonts w:ascii="Arial" w:cs="Arial" w:eastAsia="Arial" w:hAnsi="Arial"/>
          <w:sz w:val="22"/>
          <w:szCs w:val="22"/>
        </w:rPr>
        <w:t xml:space="preserve">This abstract can be produced via the scientific-schematics skill once the manuscript text is finalised.</w:t>
      </w:r>
    </w:p>
    <w:p>
      <w:pPr>
        <w:pageBreakBefore/>
        <w:spacing w:after="200" w:line="360"/>
        <w:jc w:val="left"/>
      </w:pPr>
      <w:r>
        <w:rPr>
          <w:rFonts w:ascii="Arial" w:cs="Arial" w:eastAsia="Arial" w:hAnsi="Arial"/>
          <w:b/>
          <w:bCs/>
          <w:sz w:val="28"/>
          <w:szCs w:val="28"/>
        </w:rPr>
        <w:t xml:space="preserve">Discussion (outline)</w:t>
      </w:r>
    </w:p>
    <w:p>
      <w:pPr>
        <w:spacing w:after="0" w:line="480"/>
        <w:ind/>
        <w:jc w:val="both"/>
      </w:pPr>
      <w:r>
        <w:rPr>
          <w:rFonts w:ascii="Arial" w:cs="Arial" w:eastAsia="Arial" w:hAnsi="Arial"/>
          <w:sz w:val="22"/>
          <w:szCs w:val="22"/>
        </w:rPr>
        <w:t xml:space="preserve">outline (to be expanded)</w:t>
      </w:r>
    </w:p>
    <w:p>
      <w:pPr>
        <w:spacing w:after="0" w:line="480"/>
        <w:ind w:firstLine="800"/>
        <w:jc w:val="both"/>
      </w:pPr>
      <w:r>
        <w:rPr>
          <w:rFonts w:ascii="Arial" w:cs="Arial" w:eastAsia="Arial" w:hAnsi="Arial"/>
          <w:sz w:val="22"/>
          <w:szCs w:val="22"/>
        </w:rPr>
        <w:t xml:space="preserve">The main findings can be framed around three observations: (i) the absence of any safety signal for major chronic disease over a median follow-up of approximately six years, including the broad Any-of-5 composite; (ii) the absence of an overall protective effect of post-surgical vaccination on lesion recurrence and HPV reinfection in this cohort; and (iii) the outcome- and product-specific signal for the quadrivalent product on HPV reinfection, supported by a formal interaction-test for vaccine-type heterogeneity (likelihood-ratio p = 0.037). These should be situated against the FUTURE I/II trial program, which established prophylactic vaccine efficacy in HPV-naïve women, and against meta-analyses of post-surgical vaccination (Joura et al., Bonde et al., Velentzis et al.) that have yielded inconsistent results, particularly for non-quadrivalent products. The mechanism of the apparent quadrivalent-specific reinfection signal warrants discussion in light of cross-protection profiles and timing of administration relative to surgery.</w:t>
      </w:r>
    </w:p>
    <w:p>
      <w:pPr>
        <w:spacing w:after="0" w:line="480"/>
        <w:ind w:firstLine="800"/>
        <w:jc w:val="both"/>
      </w:pPr>
      <w:r>
        <w:rPr>
          <w:rFonts w:ascii="Arial" w:cs="Arial" w:eastAsia="Arial" w:hAnsi="Arial"/>
          <w:sz w:val="22"/>
          <w:szCs w:val="22"/>
        </w:rPr>
        <w:t xml:space="preserve">Limitations to be acknowledged include the single-centre design, the modest absolute number of cardiovascular events (limiting power for the MCE composite), the dependence of HPV reinfection ascertainment on opportunistic testing, the absence of granular data on socioeconomic status, sexual behaviour, and partner vaccination, the residual potential for unmeasured confounding despite propensity score and fine matching, and an important definitional caveat for the post-index hr-HPV detection outcome. Specifically, because the cohort consisted entirely of women who had been HPV-positive at the time of the qualifying surgery, and because residual viral DNA typically takes 12–18 months to clear, the operational definition of post-index hr-HPV positivity necessarily conflates persistence and reactivation of the pre-surgical infection with new acquisition; almost half of all post-index hr-HPV+ records arose within the first 6 months, a pattern incompatible with a true incident-acquisition interpretation. The landmark sensitivity analysis indicates that, once these early detections are excluded, no protective association with vaccination remains, and we therefore caution against interpreting the primary HR of 0.91 as evidence of vaccine efficacy against new HPV infection. A definitive evaluation of vaccine efficacy against new acquisition would require either a documented HPV-negative test before counting subsequent positivity as a new event, or genotyping that distinguishes the post-surgical types from the index-surgery types — neither of which was uniformly available in the present cohort. Several methodological caveats also merit explicit mention. First, the pseudo-index assignment used to anchor follow-up time for unvaccinated controls in Cohort A is not unique; we therefore conducted a sensitivity analysis comparing three reasonable strategies and observed concordant results. Second, the original variable-ratio (1:up-to-4) fine-matched Cohort B subgroup analysis by vaccine type reused non-vaccinated controls across pairwise comparisons; we addressed this by re-formulating the analysis as a single Cox model with vaccine-type × vaccination interaction terms and a likelihood-ratio test, which appropriately accounts for the dependence among controls and continues to support a Gardasil-specific signal for HPV reinfection. Third, we did not apply formal multiple-comparison adjustment for the two Cohort B primary outcomes because they represent distinct biological hypotheses (lesion recurrence versus de novo viral acquisition); both, however, were null at the nominal threshold, so any plausible adjustment would not alter the substantive conclusion. The subgroup and interaction findings are explicitly framed as hypothesis-generating; in particular, an exploratory grid search across many overlapping age and follow-up windows had identified a single nominally significant cell (women aged 30 to 52 years, 2-year follow-up window: hazard ratio 0.23, 95% CI 0.06 to 0.96) that did not survive any reasonable adjustment for the approximately 6,900 combinations searched, attenuated with longer follow-up, and is therefore not reported in the main figure and not used to support any inference. Fourth, the post-surgical efficacy analysis was conducted with limited statistical power: only 13 lesion recurrences accrued in the vaccinated arm, so the analysis was sensitive to detect protective effects only of magnitude approximately HR ≤ 0.5 at 80% power. This limitation is intrinsic to the rarity of the outcome in a Korean post-surgical population and not to the matching strategy itself. The combination of a long-followed prospective cohort with retrospective CDW augmentation is, however, a methodological strength that allowed us to track clinically important outcomes that would have been undetectable in shorter follow-up windows, while the use of cluster-robust standard errors based on the matched-pair (Cohort A) and fine-matching (Cohort B) identifiers, together with proportional-hazards assumption testing, provides a methodologically conservative inferential framework.</w:t>
      </w:r>
    </w:p>
    <w:p>
      <w:pPr>
        <w:pageBreakBefore/>
        <w:spacing w:after="200" w:line="360"/>
        <w:jc w:val="left"/>
      </w:pPr>
      <w:r>
        <w:rPr>
          <w:rFonts w:ascii="Arial" w:cs="Arial" w:eastAsia="Arial" w:hAnsi="Arial"/>
          <w:b/>
          <w:bCs/>
          <w:sz w:val="28"/>
          <w:szCs w:val="28"/>
        </w:rPr>
        <w:t xml:space="preserve">References</w:t>
      </w:r>
    </w:p>
    <w:p>
      <w:pPr>
        <w:spacing w:after="0" w:line="360"/>
        <w:ind/>
        <w:jc w:val="both"/>
      </w:pPr>
      <w:r>
        <w:rPr>
          <w:rFonts w:ascii="Arial" w:cs="Arial" w:eastAsia="Arial" w:hAnsi="Arial"/>
          <w:sz w:val="22"/>
          <w:szCs w:val="22"/>
        </w:rPr>
        <w:t xml:space="preserve">1. von Elm E, Altman DG, Egger M, Pocock SJ, Gøtzsche PC, Vandenbroucke JP; STROBE Initiative. The Strengthening the Reporting of Observational Studies in Epidemiology (STROBE) statement: guidelines for reporting observational studies. </w:t>
      </w:r>
      <w:r>
        <w:rPr>
          <w:rFonts w:ascii="Arial" w:cs="Arial" w:eastAsia="Arial" w:hAnsi="Arial"/>
          <w:i/>
          <w:iCs/>
          <w:sz w:val="22"/>
          <w:szCs w:val="22"/>
        </w:rPr>
        <w:t xml:space="preserve">Lancet.</w:t>
      </w:r>
      <w:r>
        <w:rPr>
          <w:rFonts w:ascii="Arial" w:cs="Arial" w:eastAsia="Arial" w:hAnsi="Arial"/>
          <w:sz w:val="22"/>
          <w:szCs w:val="22"/>
        </w:rPr>
        <w:t xml:space="preserve"> 2007;370(9596):1453-1457. doi:</w:t>
      </w:r>
      <w:r>
        <w:rPr>
          <w:rFonts w:ascii="Arial" w:cs="Arial" w:eastAsia="Arial" w:hAnsi="Arial"/>
          <w:sz w:val="22"/>
          <w:szCs w:val="22"/>
        </w:rPr>
        <w:t xml:space="preserve">10.1016/S0140-6736(07)61602-X</w:t>
      </w:r>
      <w:r>
        <w:rPr>
          <w:rFonts w:ascii="Arial" w:cs="Arial" w:eastAsia="Arial" w:hAnsi="Arial"/>
          <w:sz w:val="22"/>
          <w:szCs w:val="22"/>
        </w:rPr>
        <w:t xml:space="preserve">61602-X)</w:t>
      </w:r>
    </w:p>
    <w:p>
      <w:pPr>
        <w:spacing w:after="0" w:line="480"/>
      </w:pPr>
    </w:p>
    <w:p>
      <w:pPr>
        <w:spacing w:after="0" w:line="360"/>
        <w:ind/>
        <w:jc w:val="both"/>
      </w:pPr>
      <w:r>
        <w:rPr>
          <w:rFonts w:ascii="Arial" w:cs="Arial" w:eastAsia="Arial" w:hAnsi="Arial"/>
          <w:sz w:val="22"/>
          <w:szCs w:val="22"/>
        </w:rPr>
        <w:t xml:space="preserve">2. Austin PC. Optimal caliper widths for propensity-score matching when estimating differences in means and differences in proportions in observational studies. </w:t>
      </w:r>
      <w:r>
        <w:rPr>
          <w:rFonts w:ascii="Arial" w:cs="Arial" w:eastAsia="Arial" w:hAnsi="Arial"/>
          <w:i/>
          <w:iCs/>
          <w:sz w:val="22"/>
          <w:szCs w:val="22"/>
        </w:rPr>
        <w:t xml:space="preserve">Pharm Stat.</w:t>
      </w:r>
      <w:r>
        <w:rPr>
          <w:rFonts w:ascii="Arial" w:cs="Arial" w:eastAsia="Arial" w:hAnsi="Arial"/>
          <w:sz w:val="22"/>
          <w:szCs w:val="22"/>
        </w:rPr>
        <w:t xml:space="preserve"> 2011;10(2):150-161. doi:</w:t>
      </w:r>
      <w:r>
        <w:rPr>
          <w:rFonts w:ascii="Arial" w:cs="Arial" w:eastAsia="Arial" w:hAnsi="Arial"/>
          <w:sz w:val="22"/>
          <w:szCs w:val="22"/>
        </w:rPr>
        <w:t xml:space="preserve">10.1002/pst.433</w:t>
      </w:r>
    </w:p>
    <w:p>
      <w:pPr>
        <w:spacing w:after="0" w:line="480"/>
      </w:pPr>
    </w:p>
    <w:p>
      <w:pPr>
        <w:spacing w:after="0" w:line="360"/>
        <w:ind/>
        <w:jc w:val="both"/>
      </w:pPr>
      <w:r>
        <w:rPr>
          <w:rFonts w:ascii="Arial" w:cs="Arial" w:eastAsia="Arial" w:hAnsi="Arial"/>
          <w:sz w:val="22"/>
          <w:szCs w:val="22"/>
        </w:rPr>
        <w:t xml:space="preserve">3. Geskus RB. Cause-specific cumulative incidence estimation and the Fine and Gray model under both left truncation and right censoring. </w:t>
      </w:r>
      <w:r>
        <w:rPr>
          <w:rFonts w:ascii="Arial" w:cs="Arial" w:eastAsia="Arial" w:hAnsi="Arial"/>
          <w:i/>
          <w:iCs/>
          <w:sz w:val="22"/>
          <w:szCs w:val="22"/>
        </w:rPr>
        <w:t xml:space="preserve">Biometrics.</w:t>
      </w:r>
      <w:r>
        <w:rPr>
          <w:rFonts w:ascii="Arial" w:cs="Arial" w:eastAsia="Arial" w:hAnsi="Arial"/>
          <w:sz w:val="22"/>
          <w:szCs w:val="22"/>
        </w:rPr>
        <w:t xml:space="preserve"> 2011;67(1):39-49. doi:</w:t>
      </w:r>
      <w:r>
        <w:rPr>
          <w:rFonts w:ascii="Arial" w:cs="Arial" w:eastAsia="Arial" w:hAnsi="Arial"/>
          <w:sz w:val="22"/>
          <w:szCs w:val="22"/>
        </w:rPr>
        <w:t xml:space="preserve">10.1111/j.1541-0420.2010.01420.x</w:t>
      </w:r>
    </w:p>
    <w:p>
      <w:pPr>
        <w:spacing w:after="0" w:line="480"/>
      </w:pPr>
    </w:p>
    <w:p>
      <w:pPr>
        <w:spacing w:after="0" w:line="360"/>
        <w:ind/>
        <w:jc w:val="both"/>
      </w:pPr>
      <w:r>
        <w:rPr>
          <w:rFonts w:ascii="Arial" w:cs="Arial" w:eastAsia="Arial" w:hAnsi="Arial"/>
          <w:sz w:val="22"/>
          <w:szCs w:val="22"/>
        </w:rPr>
        <w:t xml:space="preserve">4. Rothman KJ. No adjustments are needed for multiple comparisons. </w:t>
      </w:r>
      <w:r>
        <w:rPr>
          <w:rFonts w:ascii="Arial" w:cs="Arial" w:eastAsia="Arial" w:hAnsi="Arial"/>
          <w:i/>
          <w:iCs/>
          <w:sz w:val="22"/>
          <w:szCs w:val="22"/>
        </w:rPr>
        <w:t xml:space="preserve">Epidemiology.</w:t>
      </w:r>
      <w:r>
        <w:rPr>
          <w:rFonts w:ascii="Arial" w:cs="Arial" w:eastAsia="Arial" w:hAnsi="Arial"/>
          <w:sz w:val="22"/>
          <w:szCs w:val="22"/>
        </w:rPr>
        <w:t xml:space="preserve"> 1990;1(1):43-46.</w:t>
      </w:r>
    </w:p>
    <w:p>
      <w:pPr>
        <w:spacing w:after="0" w:line="480"/>
      </w:pPr>
    </w:p>
    <w:p>
      <w:pPr>
        <w:spacing w:after="0" w:line="360"/>
        <w:ind/>
        <w:jc w:val="both"/>
      </w:pPr>
      <w:r>
        <w:rPr>
          <w:rFonts w:ascii="Arial" w:cs="Arial" w:eastAsia="Arial" w:hAnsi="Arial"/>
          <w:sz w:val="22"/>
          <w:szCs w:val="22"/>
        </w:rPr>
        <w:t xml:space="preserve">5. Stuart EA. Matching methods for causal inference: a review and a look forward. </w:t>
      </w:r>
      <w:r>
        <w:rPr>
          <w:rFonts w:ascii="Arial" w:cs="Arial" w:eastAsia="Arial" w:hAnsi="Arial"/>
          <w:i/>
          <w:iCs/>
          <w:sz w:val="22"/>
          <w:szCs w:val="22"/>
        </w:rPr>
        <w:t xml:space="preserve">Stat Sci.</w:t>
      </w:r>
      <w:r>
        <w:rPr>
          <w:rFonts w:ascii="Arial" w:cs="Arial" w:eastAsia="Arial" w:hAnsi="Arial"/>
          <w:sz w:val="22"/>
          <w:szCs w:val="22"/>
        </w:rPr>
        <w:t xml:space="preserve"> 2010;25(1):1-21. doi:</w:t>
      </w:r>
      <w:r>
        <w:rPr>
          <w:rFonts w:ascii="Arial" w:cs="Arial" w:eastAsia="Arial" w:hAnsi="Arial"/>
          <w:sz w:val="22"/>
          <w:szCs w:val="22"/>
        </w:rPr>
        <w:t xml:space="preserve">10.1214/09-STS313</w:t>
      </w:r>
    </w:p>
    <w:p>
      <w:pPr>
        <w:spacing w:after="0" w:line="480"/>
      </w:pPr>
    </w:p>
    <w:p>
      <w:pPr>
        <w:spacing w:after="0" w:line="360"/>
        <w:ind/>
        <w:jc w:val="both"/>
      </w:pPr>
      <w:r>
        <w:rPr>
          <w:rFonts w:ascii="Arial" w:cs="Arial" w:eastAsia="Arial" w:hAnsi="Arial"/>
          <w:sz w:val="22"/>
          <w:szCs w:val="22"/>
        </w:rPr>
        <w:t xml:space="preserve">6. Austin PC. A comparison of 12 algorithms for matching on the propensity score. </w:t>
      </w:r>
      <w:r>
        <w:rPr>
          <w:rFonts w:ascii="Arial" w:cs="Arial" w:eastAsia="Arial" w:hAnsi="Arial"/>
          <w:i/>
          <w:iCs/>
          <w:sz w:val="22"/>
          <w:szCs w:val="22"/>
        </w:rPr>
        <w:t xml:space="preserve">Stat Med.</w:t>
      </w:r>
      <w:r>
        <w:rPr>
          <w:rFonts w:ascii="Arial" w:cs="Arial" w:eastAsia="Arial" w:hAnsi="Arial"/>
          <w:sz w:val="22"/>
          <w:szCs w:val="22"/>
        </w:rPr>
        <w:t xml:space="preserve"> 2014;33(6):1057-1069. doi:</w:t>
      </w:r>
      <w:r>
        <w:rPr>
          <w:rFonts w:ascii="Arial" w:cs="Arial" w:eastAsia="Arial" w:hAnsi="Arial"/>
          <w:sz w:val="22"/>
          <w:szCs w:val="22"/>
        </w:rPr>
        <w:t xml:space="preserve">10.1002/sim.6004</w:t>
      </w:r>
    </w:p>
    <w:p>
      <w:pPr>
        <w:spacing w:after="0" w:line="480"/>
      </w:pPr>
    </w:p>
    <w:sectPr>
      <w:headerReference w:type="default" r:id="rId7"/>
      <w:footerReference w:type="default" r:id="rId8"/>
      <w:pgSz w:w="11906" w:h="16838" w:orient="portrait"/>
      <w:pgMar w:top="1440" w:right="1440" w:bottom="1440" w:left="1440" w:header="708" w:footer="708" w:gutter="0"/>
      <w:lnNumType w:countBy="1" w:restart="newPage"/>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sz w:val="18"/>
        <w:szCs w:val="18"/>
      </w:rPr>
      <w:t xml:space="preserve">HPV vaccination safety and post-surgical efficacy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2026-05-08T12:38:49.367Z</dcterms:created>
  <dcterms:modified xsi:type="dcterms:W3CDTF">2026-05-08T12:38:49.367Z</dcterms:modified>
</cp:coreProperties>
</file>

<file path=docProps/custom.xml><?xml version="1.0" encoding="utf-8"?>
<Properties xmlns="http://schemas.openxmlformats.org/officeDocument/2006/custom-properties" xmlns:vt="http://schemas.openxmlformats.org/officeDocument/2006/docPropsVTypes"/>
</file>