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60"/>
        <w:jc w:val="center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Supplementary Materials</w:t>
      </w:r>
    </w:p>
    <w:p>
      <w:pPr>
        <w:spacing w:after="0" w:line="480"/>
      </w:pPr>
    </w:p>
    <w:p>
      <w:pPr>
        <w:spacing w:after="0" w:line="360"/>
        <w:jc w:val="center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Long-term safety and post-surgical efficacy of HPV vaccination in women with cervical intraepithelial lesions</w:t>
      </w:r>
    </w:p>
    <w:p>
      <w:pPr>
        <w:spacing w:after="0" w:line="480"/>
      </w:pPr>
    </w:p>
    <w:p>
      <w:pPr>
        <w:spacing w:after="0" w:line="480"/>
      </w:pPr>
    </w:p>
    <w:p>
      <w:pPr>
        <w:spacing w:after="40" w:line="360"/>
        <w:jc w:val="left"/>
      </w:pPr>
      <w:r>
        <w:rPr>
          <w:rFonts w:ascii="Arial" w:cs="Arial" w:eastAsia="Arial" w:hAnsi="Arial"/>
          <w:sz w:val="20"/>
          <w:szCs w:val="20"/>
        </w:rPr>
        <w:t xml:space="preserve">Table S1. Pre-matching baseline characteristics</w:t>
      </w:r>
    </w:p>
    <w:p>
      <w:pPr>
        <w:spacing w:after="40" w:line="360"/>
        <w:jc w:val="left"/>
      </w:pPr>
      <w:r>
        <w:rPr>
          <w:rFonts w:ascii="Arial" w:cs="Arial" w:eastAsia="Arial" w:hAnsi="Arial"/>
          <w:sz w:val="20"/>
          <w:szCs w:val="20"/>
        </w:rPr>
        <w:t xml:space="preserve">Table S2. Propensity-score model coefficients (Cohort A)</w:t>
      </w:r>
    </w:p>
    <w:p>
      <w:pPr>
        <w:spacing w:after="40" w:line="360"/>
        <w:jc w:val="left"/>
      </w:pPr>
      <w:r>
        <w:rPr>
          <w:rFonts w:ascii="Arial" w:cs="Arial" w:eastAsia="Arial" w:hAnsi="Arial"/>
          <w:sz w:val="20"/>
          <w:szCs w:val="20"/>
        </w:rPr>
        <w:t xml:space="preserve">Table S3. Sensitivity analyses for Cohort B</w:t>
      </w:r>
    </w:p>
    <w:p>
      <w:pPr>
        <w:spacing w:after="40" w:line="360"/>
        <w:jc w:val="left"/>
      </w:pPr>
      <w:r>
        <w:rPr>
          <w:rFonts w:ascii="Arial" w:cs="Arial" w:eastAsia="Arial" w:hAnsi="Arial"/>
          <w:sz w:val="20"/>
          <w:szCs w:val="20"/>
        </w:rPr>
        <w:t xml:space="preserve">Table S4. Age- and follow-up-stratified subgroup analyses (Cohort B, recurrence)</w:t>
      </w:r>
    </w:p>
    <w:p>
      <w:pPr>
        <w:spacing w:after="40" w:line="360"/>
        <w:jc w:val="left"/>
      </w:pPr>
      <w:r>
        <w:rPr>
          <w:rFonts w:ascii="Arial" w:cs="Arial" w:eastAsia="Arial" w:hAnsi="Arial"/>
          <w:sz w:val="20"/>
          <w:szCs w:val="20"/>
        </w:rPr>
        <w:t xml:space="preserve">Table S5. Number-at-risk tables</w:t>
      </w:r>
    </w:p>
    <w:p>
      <w:pPr>
        <w:spacing w:after="40" w:line="360"/>
        <w:jc w:val="left"/>
      </w:pPr>
      <w:r>
        <w:rPr>
          <w:rFonts w:ascii="Arial" w:cs="Arial" w:eastAsia="Arial" w:hAnsi="Arial"/>
          <w:sz w:val="20"/>
          <w:szCs w:val="20"/>
        </w:rPr>
        <w:t xml:space="preserve">Table S6. Vaccine-type detailed results</w:t>
      </w:r>
    </w:p>
    <w:p>
      <w:pPr>
        <w:spacing w:after="40" w:line="360"/>
        <w:jc w:val="left"/>
      </w:pPr>
      <w:r>
        <w:rPr>
          <w:rFonts w:ascii="Arial" w:cs="Arial" w:eastAsia="Arial" w:hAnsi="Arial"/>
          <w:sz w:val="20"/>
          <w:szCs w:val="20"/>
        </w:rPr>
        <w:t xml:space="preserve">Table S7. Schoenfeld residual test results</w:t>
      </w:r>
    </w:p>
    <w:p>
      <w:pPr>
        <w:spacing w:after="40" w:line="360"/>
        <w:jc w:val="left"/>
      </w:pPr>
      <w:r>
        <w:rPr>
          <w:rFonts w:ascii="Arial" w:cs="Arial" w:eastAsia="Arial" w:hAnsi="Arial"/>
          <w:sz w:val="20"/>
          <w:szCs w:val="20"/>
        </w:rPr>
        <w:t xml:space="preserve">Table S8. Pseudo-index assignment sensitivity analysis (Cohort A)</w:t>
      </w:r>
    </w:p>
    <w:p>
      <w:pPr>
        <w:spacing w:after="40" w:line="360"/>
        <w:jc w:val="left"/>
      </w:pPr>
      <w:r>
        <w:rPr>
          <w:rFonts w:ascii="Arial" w:cs="Arial" w:eastAsia="Arial" w:hAnsi="Arial"/>
          <w:sz w:val="20"/>
          <w:szCs w:val="20"/>
        </w:rPr>
        <w:t xml:space="preserve">Table S9. Dose-threshold sensitivity analysis</w:t>
      </w:r>
    </w:p>
    <w:p>
      <w:pPr>
        <w:spacing w:after="40" w:line="360"/>
        <w:jc w:val="left"/>
      </w:pPr>
      <w:r>
        <w:rPr>
          <w:rFonts w:ascii="Arial" w:cs="Arial" w:eastAsia="Arial" w:hAnsi="Arial"/>
          <w:sz w:val="20"/>
          <w:szCs w:val="20"/>
        </w:rPr>
        <w:t xml:space="preserve">Table S10. Strict 1:4 fine-matching sensitivity analysis (Cohort B)</w:t>
      </w:r>
    </w:p>
    <w:p>
      <w:pPr>
        <w:spacing w:after="40" w:line="360"/>
        <w:jc w:val="left"/>
      </w:pPr>
      <w:r>
        <w:rPr>
          <w:rFonts w:ascii="Arial" w:cs="Arial" w:eastAsia="Arial" w:hAnsi="Arial"/>
          <w:sz w:val="20"/>
          <w:szCs w:val="20"/>
        </w:rPr>
        <w:t xml:space="preserve">Table S11. Prescription-code vs. drug-name exposure-ascertainment cross-validation</w:t>
      </w:r>
    </w:p>
    <w:p>
      <w:pPr>
        <w:spacing w:after="40" w:line="360"/>
        <w:jc w:val="left"/>
      </w:pPr>
      <w:r>
        <w:rPr>
          <w:rFonts w:ascii="Arial" w:cs="Arial" w:eastAsia="Arial" w:hAnsi="Arial"/>
          <w:sz w:val="20"/>
          <w:szCs w:val="20"/>
        </w:rPr>
        <w:t xml:space="preserve">Table S12. Vaccine-type recipient patterns including mixed-product recipients</w:t>
      </w:r>
    </w:p>
    <w:p>
      <w:pPr>
        <w:spacing w:after="40" w:line="360"/>
        <w:jc w:val="left"/>
      </w:pPr>
      <w:r>
        <w:rPr>
          <w:rFonts w:ascii="Arial" w:cs="Arial" w:eastAsia="Arial" w:hAnsi="Arial"/>
          <w:sz w:val="20"/>
          <w:szCs w:val="20"/>
        </w:rPr>
        <w:t xml:space="preserve">Table S13. Landmark sensitivity analysis for post-index hr-HPV detection</w:t>
      </w:r>
    </w:p>
    <w:p>
      <w:pPr>
        <w:spacing w:after="40" w:line="360"/>
        <w:jc w:val="left"/>
      </w:pPr>
      <w:r>
        <w:rPr>
          <w:rFonts w:ascii="Arial" w:cs="Arial" w:eastAsia="Arial" w:hAnsi="Arial"/>
          <w:sz w:val="20"/>
          <w:szCs w:val="20"/>
        </w:rPr>
        <w:t xml:space="preserve">Figure S1. Love plot — Cohort A</w:t>
      </w:r>
    </w:p>
    <w:p>
      <w:pPr>
        <w:spacing w:after="40" w:line="360"/>
        <w:jc w:val="left"/>
      </w:pPr>
      <w:r>
        <w:rPr>
          <w:rFonts w:ascii="Arial" w:cs="Arial" w:eastAsia="Arial" w:hAnsi="Arial"/>
          <w:sz w:val="20"/>
          <w:szCs w:val="20"/>
        </w:rPr>
        <w:t xml:space="preserve">Figure S2. Love plot — Cohort B</w:t>
      </w:r>
    </w:p>
    <w:p>
      <w:pPr>
        <w:spacing w:after="40" w:line="360"/>
        <w:jc w:val="left"/>
      </w:pPr>
      <w:r>
        <w:rPr>
          <w:rFonts w:ascii="Arial" w:cs="Arial" w:eastAsia="Arial" w:hAnsi="Arial"/>
          <w:sz w:val="20"/>
          <w:szCs w:val="20"/>
        </w:rPr>
        <w:t xml:space="preserve">Figure S3. Propensity-score density distributions</w:t>
      </w:r>
    </w:p>
    <w:p>
      <w:pPr>
        <w:spacing w:after="40" w:line="360"/>
        <w:jc w:val="left"/>
      </w:pPr>
      <w:r>
        <w:rPr>
          <w:rFonts w:ascii="Arial" w:cs="Arial" w:eastAsia="Arial" w:hAnsi="Arial"/>
          <w:sz w:val="20"/>
          <w:szCs w:val="20"/>
        </w:rPr>
        <w:t xml:space="preserve">Figure S4. Schoenfeld residual plots — Cohort A</w:t>
      </w:r>
    </w:p>
    <w:p>
      <w:pPr>
        <w:spacing w:after="40" w:line="360"/>
        <w:jc w:val="left"/>
      </w:pPr>
      <w:r>
        <w:rPr>
          <w:rFonts w:ascii="Arial" w:cs="Arial" w:eastAsia="Arial" w:hAnsi="Arial"/>
          <w:sz w:val="20"/>
          <w:szCs w:val="20"/>
        </w:rPr>
        <w:t xml:space="preserve">Figure S5. Schoenfeld residual plots — Cohort B</w:t>
      </w:r>
    </w:p>
    <w:p>
      <w:pPr>
        <w:spacing w:after="120" w:line="36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Table S1. Pre-matching baseline characteristics of the source population before propensity-score matching (Cohort A) and before fine matching (Cohort B).</w:t>
      </w:r>
    </w:p>
    <w:p>
      <w:pPr>
        <w:spacing w:after="80" w:line="32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Cohort A (pre-matching)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200"/>
        <w:gridCol w:w="2200"/>
        <w:gridCol w:w="900"/>
        <w:gridCol w:w="900"/>
      </w:tblGrid>
      <w:tr>
        <w:tc>
          <w:tcPr>
            <w:tcW w:type="dxa" w:w="3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Variable</w:t>
            </w:r>
          </w:p>
        </w:tc>
        <w:tc>
          <w:tcPr>
            <w:tcW w:type="dxa" w:w="2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Vaccinated (n=2,156)</w:t>
            </w:r>
          </w:p>
        </w:tc>
        <w:tc>
          <w:tcPr>
            <w:tcW w:type="dxa" w:w="2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Non-vaccinated (n=30,813)</w:t>
            </w:r>
          </w:p>
        </w:tc>
        <w:tc>
          <w:tcPr>
            <w:tcW w:type="dxa" w:w="9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</w:t>
            </w:r>
          </w:p>
        </w:tc>
        <w:tc>
          <w:tcPr>
            <w:tcW w:type="dxa" w:w="9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|SMD|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Demographics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Age at index, years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33.46 ± 9.18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46.90 ± 14.50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1.11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Birth year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1982.32 ± 10.10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1968.93 ± 13.91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1.10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Index year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2015.73 ± 4.11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2015.77 ± 4.11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0.703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0.01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Residence in Seoul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739 (34.3%)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9031 (29.3%)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0.11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Anthropometry &amp; Vital signs (closest to index, ±1 yr)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Height, cm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161.37 ± 5.32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158.56 ± 6.63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0.47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Weight, kg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57.50 ± 9.73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57.82 ± 9.73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0.365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0.03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BMI, kg/m²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22.12 ± 3.53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23.34 ± 10.32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0.16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Systolic BP, mmHg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113.01 ± 13.22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119.72 ± 17.44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0.43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Diastolic BP, mmHg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70.64 ± 10.65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74.21 ± 15.74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0.27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Smoking status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Never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675 (31.3%)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6582 (21.4%)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0.23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Former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 (0.5%)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 (0.3%)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0.248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0.02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Current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37 (1.7%)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246 (0.8%)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0.08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Unknown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1434 (66.5%)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23885 (77.5%)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0.25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Pre-existing comorbidities (before index)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Angina/MI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 (0.0%)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 (0.0%)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0.03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Hypertension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 (0.5%)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115 (0.4%)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0.468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0.01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Diabetes mellitus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 (0.6%)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128 (0.4%)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0.122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0.03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Stroke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 (0.0%)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 (0.0%)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0.02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Pulmonary embolism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 (0.0%)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(0.0%)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0.01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Composite (any of 5)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 (1.1%)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227 (0.7%)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0.071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0.04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Follow-up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Follow-up, days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2134.52 ± 1733.35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2058.48 ± 2146.15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0.053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0.04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Mortality during follow-up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 (0.3%)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283 (0.9%)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0.08</w:t>
            </w:r>
          </w:p>
        </w:tc>
      </w:tr>
    </w:tbl>
    <w:p>
      <w:pPr>
        <w:spacing w:after="0" w:line="480"/>
      </w:pPr>
    </w:p>
    <w:p>
      <w:pPr>
        <w:spacing w:after="80" w:line="32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Cohort B (pre-matching)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200"/>
        <w:gridCol w:w="2200"/>
        <w:gridCol w:w="900"/>
        <w:gridCol w:w="900"/>
      </w:tblGrid>
      <w:tr>
        <w:tc>
          <w:tcPr>
            <w:tcW w:type="dxa" w:w="3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Variable</w:t>
            </w:r>
          </w:p>
        </w:tc>
        <w:tc>
          <w:tcPr>
            <w:tcW w:type="dxa" w:w="2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Vaccinated (n=566)</w:t>
            </w:r>
          </w:p>
        </w:tc>
        <w:tc>
          <w:tcPr>
            <w:tcW w:type="dxa" w:w="2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Non-vaccinated (n=6,324)</w:t>
            </w:r>
          </w:p>
        </w:tc>
        <w:tc>
          <w:tcPr>
            <w:tcW w:type="dxa" w:w="9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</w:t>
            </w:r>
          </w:p>
        </w:tc>
        <w:tc>
          <w:tcPr>
            <w:tcW w:type="dxa" w:w="9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|SMD|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Demographics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Age at index, years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36.40 ± 9.40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49.31 ± 12.94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1.14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Birth year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1979.96 ± 10.11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1968.29 ± 13.07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1.00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Index year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2016.32 ± 4.24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2017.53 ± 4.01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0.29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Residence in Seoul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164 (29.0%)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1320 (20.9%)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0.19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Anthropometry &amp; Vital signs (closest to index, ±1 yr)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Height, cm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161.21 ± 5.39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157.99 ± 6.51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0.54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Weight, kg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57.47 ± 9.65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58.12 ± 9.71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0.229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0.07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BMI, kg/m²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22.12 ± 3.54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23.56 ± 9.25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0.20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Systolic BP, mmHg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113.21 ± 13.44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117.45 ± 15.69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0.29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Diastolic BP, mmHg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72.17 ± 11.04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73.39 ± 11.73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0.035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0.11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Smoking status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Never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207 (36.6%)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3380 (53.4%)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0.34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Former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 (0.5%)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31 (0.5%)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0.756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0.01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Current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 (3.0%)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146 (2.3%)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0.310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0.04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Unknown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339 (59.9%)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2767 (43.8%)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0.33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Pre-existing comorbidities (before index)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Angina/MI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 (0.0%)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 (0.1%)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0.05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Hypertension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 (0.9%)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132 (2.1%)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0.057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0.10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Diabetes mellitus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 (0.7%)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154 (2.4%)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0.14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Stroke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 (0.0%)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 (0.2%)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0.06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Pulmonary embolism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 (0.0%)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 (0.1%)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0.04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Composite (any of 5)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 (1.6%)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262 (4.1%)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0.15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Surgery type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Conization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545 (96.3%)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4965 (78.5%)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0.56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Hysterectomy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21 (3.7%)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1359 (21.5%)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0.56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Age at surgery, years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36.81 ± 9.41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48.67 ± 12.91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1.05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Surgery year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2016.72 ± 4.22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2016.89 ± 3.87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0.330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0.04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Surgery → index, days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-149.37 ± 954.96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232.33 ± 381.31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0.53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Follow-up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Follow-up, days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2082.03 ± 1615.73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1623.30 ± 1491.23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0.29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Mortality during follow-up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(0.2%)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73 (1.2%)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0.030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0.12</w:t>
            </w:r>
          </w:p>
        </w:tc>
      </w:tr>
    </w:tbl>
    <w:p>
      <w:pPr>
        <w:spacing w:after="80" w:line="320"/>
        <w:jc w:val="left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Abbreviations: BMI, body-mass index; BP, blood pressure; SMD, standardised mean difference.</w:t>
      </w:r>
    </w:p>
    <w:p>
      <w:pPr>
        <w:spacing w:after="120" w:line="36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Table S2. Logistic regression coefficients for propensity score estimation (Cohort A).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500"/>
        <w:gridCol w:w="1500"/>
        <w:gridCol w:w="1200"/>
        <w:gridCol w:w="1200"/>
        <w:gridCol w:w="1200"/>
      </w:tblGrid>
      <w:tr>
        <w:tc>
          <w:tcPr>
            <w:tcW w:type="dxa" w:w="24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Covariate</w:t>
            </w:r>
          </w:p>
        </w:tc>
        <w:tc>
          <w:tcPr>
            <w:tcW w:type="dxa" w:w="15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Mean (Vac)</w:t>
            </w:r>
          </w:p>
        </w:tc>
        <w:tc>
          <w:tcPr>
            <w:tcW w:type="dxa" w:w="15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Mean (Non-vac)</w:t>
            </w:r>
          </w:p>
        </w:tc>
        <w:tc>
          <w:tcPr>
            <w:tcW w:type="dxa" w:w="1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β</w:t>
            </w:r>
          </w:p>
        </w:tc>
        <w:tc>
          <w:tcPr>
            <w:tcW w:type="dxa" w:w="1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Std β</w:t>
            </w:r>
          </w:p>
        </w:tc>
        <w:tc>
          <w:tcPr>
            <w:tcW w:type="dxa" w:w="1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age_at_index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33.51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46.30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-0.0781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-1.1427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0.925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bmi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22.71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23.18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-0.0218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-0.0867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0.978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bmi_miss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0.59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0.85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0.0464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0.0174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1.047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sbp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115.95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118.72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-0.0066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-0.0481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0.993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sbp_miss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0.53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0.84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-0.7555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-0.2943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0.470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dbp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72.22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73.71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-0.0005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-0.0031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dbp_miss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0.53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0.84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-0.7906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-0.3078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0.454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is_seoul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0.0288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0.0131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1.029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smoke_Never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0.6398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0.2599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1.896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smoke_Former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0.4427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0.0255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1.557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smoke_Current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0.5130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0.0448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1.670</w:t>
            </w:r>
          </w:p>
        </w:tc>
      </w:tr>
    </w:tbl>
    <w:p>
      <w:pPr>
        <w:spacing w:after="80" w:line="320"/>
        <w:jc w:val="left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Reference category for smoking: Unknown. OR, odds ratio.</w:t>
      </w:r>
    </w:p>
    <w:p>
      <w:pPr>
        <w:spacing w:after="120" w:line="36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Table S3. Sensitivity analyses for Cohort B (age-adjusted Cox models).</w:t>
      </w:r>
    </w:p>
    <w:p>
      <w:pPr>
        <w:spacing w:after="60" w:line="320"/>
        <w:jc w:val="left"/>
      </w:pPr>
      <w:r>
        <w:rPr>
          <w:rFonts w:ascii="Arial" w:cs="Arial" w:eastAsia="Arial" w:hAnsi="Arial"/>
          <w:b/>
          <w:bCs/>
          <w:i/>
          <w:iCs/>
          <w:sz w:val="18"/>
          <w:szCs w:val="18"/>
        </w:rPr>
        <w:t xml:space="preserve">Lesion recurrence</w:t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700"/>
        <w:gridCol w:w="700"/>
        <w:gridCol w:w="2200"/>
        <w:gridCol w:w="1200"/>
      </w:tblGrid>
      <w:tr>
        <w:tc>
          <w:tcPr>
            <w:tcW w:type="dxa" w:w="28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Analysis</w:t>
            </w:r>
          </w:p>
        </w:tc>
        <w:tc>
          <w:tcPr>
            <w:tcW w:type="dxa" w:w="7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</w:t>
            </w:r>
          </w:p>
        </w:tc>
        <w:tc>
          <w:tcPr>
            <w:tcW w:type="dxa" w:w="7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Events</w:t>
            </w:r>
          </w:p>
        </w:tc>
        <w:tc>
          <w:tcPr>
            <w:tcW w:type="dxa" w:w="2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HR (95% CI)</w:t>
            </w:r>
          </w:p>
        </w:tc>
        <w:tc>
          <w:tcPr>
            <w:tcW w:type="dxa" w:w="1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Baseline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948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61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0.76 (0.41–1.40)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0.374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Landmark (180 days)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920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39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0.73 (0.33–1.59)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0.428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Landmark (365 days)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885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0.71 (0.29–1.74)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0.457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Restricted FU (2 years)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948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39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0.60 (0.27–1.37)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0.226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Restricted FU (3 years)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948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44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0.81 (0.40–1.64)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0.559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Restricted FU (5 years)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948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55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0.77 (0.41–1.47)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0.428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Exclude Early (Exclude events before 180 days)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926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39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0.73 (0.33–1.59)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0.428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Exclude Early (Exclude events before 365 days)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917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0.71 (0.29–1.74)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0.457</w:t>
            </w:r>
          </w:p>
        </w:tc>
      </w:tr>
    </w:tbl>
    <w:p>
      <w:pPr>
        <w:spacing w:after="0" w:line="480"/>
      </w:pPr>
    </w:p>
    <w:p>
      <w:pPr>
        <w:spacing w:after="60" w:line="320"/>
        <w:jc w:val="left"/>
      </w:pPr>
      <w:r>
        <w:rPr>
          <w:rFonts w:ascii="Arial" w:cs="Arial" w:eastAsia="Arial" w:hAnsi="Arial"/>
          <w:b/>
          <w:bCs/>
          <w:i/>
          <w:iCs/>
          <w:sz w:val="18"/>
          <w:szCs w:val="18"/>
        </w:rPr>
        <w:t xml:space="preserve">HPV reinfection</w:t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700"/>
        <w:gridCol w:w="700"/>
        <w:gridCol w:w="2200"/>
        <w:gridCol w:w="1200"/>
      </w:tblGrid>
      <w:tr>
        <w:tc>
          <w:tcPr>
            <w:tcW w:type="dxa" w:w="28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Analysis</w:t>
            </w:r>
          </w:p>
        </w:tc>
        <w:tc>
          <w:tcPr>
            <w:tcW w:type="dxa" w:w="7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</w:t>
            </w:r>
          </w:p>
        </w:tc>
        <w:tc>
          <w:tcPr>
            <w:tcW w:type="dxa" w:w="7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Events</w:t>
            </w:r>
          </w:p>
        </w:tc>
        <w:tc>
          <w:tcPr>
            <w:tcW w:type="dxa" w:w="2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HR (95% CI)</w:t>
            </w:r>
          </w:p>
        </w:tc>
        <w:tc>
          <w:tcPr>
            <w:tcW w:type="dxa" w:w="1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Baseline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948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592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0.92 (0.77–1.11)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0.400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Landmark (180 days)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666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315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1.20 (0.95–1.53)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0.132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Landmark (365 days)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507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170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1.17 (0.84–1.62)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0.353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Restricted FU (2 years)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948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472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0.89 (0.72–1.09)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0.253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Restricted FU (3 years)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948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511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0.89 (0.73–1.09)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0.249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Restricted FU (5 years)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948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559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0.92 (0.76–1.11)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0.378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Exclude Early (Exclude events before 180 days)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673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317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1.19 (0.94–1.51)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0.153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Exclude Early (Exclude events before 365 days)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526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170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1.17 (0.84–1.62)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0.353</w:t>
            </w:r>
          </w:p>
        </w:tc>
      </w:tr>
    </w:tbl>
    <w:p>
      <w:pPr>
        <w:spacing w:after="0" w:line="480"/>
      </w:pPr>
    </w:p>
    <w:p>
      <w:pPr>
        <w:spacing w:after="80" w:line="320"/>
        <w:jc w:val="left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HR, hazard ratio; CI, confidence interval; FU, follow-up.</w:t>
      </w:r>
    </w:p>
    <w:p>
      <w:pPr>
        <w:spacing w:after="120" w:line="36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Table S4. Exploratory subgroup analyses of lesion recurrence by age group and follow-up duration (Cohort B).</w:t>
      </w:r>
    </w:p>
    <w:tbl>
      <w:tblPr>
        <w:tblW w:type="dxa" w:w="7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00"/>
        <w:gridCol w:w="700"/>
        <w:gridCol w:w="700"/>
        <w:gridCol w:w="2200"/>
        <w:gridCol w:w="1200"/>
      </w:tblGrid>
      <w:tr>
        <w:tc>
          <w:tcPr>
            <w:tcW w:type="dxa" w:w="18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Stratum</w:t>
            </w:r>
          </w:p>
        </w:tc>
        <w:tc>
          <w:tcPr>
            <w:tcW w:type="dxa" w:w="7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</w:t>
            </w:r>
          </w:p>
        </w:tc>
        <w:tc>
          <w:tcPr>
            <w:tcW w:type="dxa" w:w="7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 (Vac)</w:t>
            </w:r>
          </w:p>
        </w:tc>
        <w:tc>
          <w:tcPr>
            <w:tcW w:type="dxa" w:w="7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 (Ctl)</w:t>
            </w:r>
          </w:p>
        </w:tc>
        <w:tc>
          <w:tcPr>
            <w:tcW w:type="dxa" w:w="2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HR (95% CI)</w:t>
            </w:r>
          </w:p>
        </w:tc>
        <w:tc>
          <w:tcPr>
            <w:tcW w:type="dxa" w:w="1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All ages, 1 yr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1108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31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0.78 (0.35–1.75)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0.546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All ages, 2 yr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1108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39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0.62 (0.28–1.37)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0.236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All ages, 4 yr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1108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48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0.72 (0.37–1.42)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0.342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All ages, Full follow-up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1108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57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0.80 (0.44–1.44)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0.452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&lt;40 years, 1 yr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686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0.57 (0.13–2.55)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0.465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&lt;40 years, 2 yr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686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0.43 (0.10–1.86)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0.259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&lt;40 years, 4 yr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686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0.48 (0.14–1.60)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0.230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&lt;40 years, Full follow-up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686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0.69 (0.27–1.79)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0.445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40–49 years, 1 yr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326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0.25 (0.03–1.86)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0.175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40–49 years, 2 yr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326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0.22 (0.03–1.64)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0.139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40–49 years, 4 yr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326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0.54 (0.17–1.77)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0.313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40–49 years, Full follow-up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326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0.45 (0.14–1.45)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0.182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≥50 years, 1 yr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4.11 (0.84–20.05)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0.080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≥50 years, 2 yr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2.60 (0.66–10.32)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0.173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≥50 years, 4 yr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2.60 (0.66–10.32)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0.173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≥50 years, Full follow-up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3.23 (0.90–11.54)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0.071</w:t>
            </w:r>
          </w:p>
        </w:tc>
      </w:tr>
    </w:tbl>
    <w:p>
      <w:pPr>
        <w:spacing w:after="80" w:line="320"/>
        <w:jc w:val="left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Ev, events; Vac, vaccinated; Ctl, control; HR, hazard ratio; CI, confidence interval. Age-adjusted Cox models with cluster-robust standard errors.</w:t>
      </w:r>
    </w:p>
    <w:p>
      <w:pPr>
        <w:spacing w:after="120" w:line="36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Table S5. Number at risk at yearly intervals for survival curve analyses.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00"/>
        <w:gridCol w:w="700"/>
        <w:gridCol w:w="700"/>
        <w:gridCol w:w="700"/>
        <w:gridCol w:w="700"/>
        <w:gridCol w:w="700"/>
        <w:gridCol w:w="700"/>
        <w:gridCol w:w="700"/>
        <w:gridCol w:w="700"/>
        <w:gridCol w:w="700"/>
        <w:gridCol w:w="700"/>
      </w:tblGrid>
      <w:tr>
        <w:tc>
          <w:tcPr>
            <w:tcW w:type="dxa" w:w="15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Outcome</w:t>
            </w:r>
          </w:p>
        </w:tc>
        <w:tc>
          <w:tcPr>
            <w:tcW w:type="dxa" w:w="7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Group</w:t>
            </w:r>
          </w:p>
        </w:tc>
        <w:tc>
          <w:tcPr>
            <w:tcW w:type="dxa" w:w="7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7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7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7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5</w:t>
            </w:r>
          </w:p>
        </w:tc>
        <w:tc>
          <w:tcPr>
            <w:tcW w:type="dxa" w:w="7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7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7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8 yr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– Any-of-5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Vac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2027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1721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1514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1324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1138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961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835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730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635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– Any-of-5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Ctl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2035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1898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1763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1643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1498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1347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1202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1042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914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– MCE (MI/Stroke/PE)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Vac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2051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1742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1533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1342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1151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974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850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746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653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– MCE (MI/Stroke/PE)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Ctl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2051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1916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1781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1661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1518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1362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1215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1056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928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– Angina/MI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Vac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2051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1742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1533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1342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1151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974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850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746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653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– Angina/MI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Ctl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2051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1917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1782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1661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1518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1362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1215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1056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928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– Hypertension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Vac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2041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1733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1524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1335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1145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968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843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740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647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– Hypertension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Ctl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2045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1911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1775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1654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1510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1358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1212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1053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925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– Diabetes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Vac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2037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1730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1523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1331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1144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967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842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737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642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– Diabetes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Ctl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2041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1905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1771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1649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1505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1353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1207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1047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919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– Stroke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Vac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2051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1742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1533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1342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1151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974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850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747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654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– Stroke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Ctl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2051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1917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1782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1661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1518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1363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1216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1057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929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– PE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Vac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2051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1742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1533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1342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1151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974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850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747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654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– PE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Ctl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2051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1916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1781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1661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1518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1363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1216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1057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929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 – Lesion recurrence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Vac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228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209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149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89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74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60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 – Lesion recurrence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Ctl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867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805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730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657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547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406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338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282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233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 – HPV reinfection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Vac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114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32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 – HPV reinfection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Ctl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867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455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384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326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260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116</w:t>
            </w:r>
          </w:p>
        </w:tc>
      </w:tr>
    </w:tbl>
    <w:p>
      <w:pPr>
        <w:spacing w:after="80" w:line="320"/>
        <w:jc w:val="left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Vac, vaccinated; Ctl, control/non-vaccinated.</w:t>
      </w:r>
    </w:p>
    <w:p>
      <w:pPr>
        <w:spacing w:after="120" w:line="36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Table S6. Vaccine-type detailed results: pairwise subgroup hazard ratios and interaction-model results (Cohort B).</w:t>
      </w:r>
    </w:p>
    <w:p>
      <w:pPr>
        <w:spacing w:after="60" w:line="320"/>
        <w:jc w:val="left"/>
      </w:pPr>
      <w:r>
        <w:rPr>
          <w:rFonts w:ascii="Arial" w:cs="Arial" w:eastAsia="Arial" w:hAnsi="Arial"/>
          <w:b/>
          <w:bCs/>
          <w:i/>
          <w:iCs/>
          <w:sz w:val="18"/>
          <w:szCs w:val="18"/>
        </w:rPr>
        <w:t xml:space="preserve">A. Pairwise subgroup analysis</w:t>
      </w:r>
    </w:p>
    <w:tbl>
      <w:tblPr>
        <w:tblW w:type="dxa" w:w="7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600"/>
        <w:gridCol w:w="600"/>
        <w:gridCol w:w="600"/>
        <w:gridCol w:w="600"/>
        <w:gridCol w:w="2200"/>
        <w:gridCol w:w="1200"/>
      </w:tblGrid>
      <w:tr>
        <w:tc>
          <w:tcPr>
            <w:tcW w:type="dxa" w:w="15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Vaccine (Outcome)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 Vac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 Ctl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 Vac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 Ctl</w:t>
            </w:r>
          </w:p>
        </w:tc>
        <w:tc>
          <w:tcPr>
            <w:tcW w:type="dxa" w:w="2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HR (95% CI)</w:t>
            </w:r>
          </w:p>
        </w:tc>
        <w:tc>
          <w:tcPr>
            <w:tcW w:type="dxa" w:w="1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Gardasil9 (recurrence)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128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463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28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0.61 (0.24–1.60)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0.3173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Cervarix (recurrence)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77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273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1.13 (0.45–2.85)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0.7882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Gardasil (recurrence)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36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131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0.76 (0.17–3.49)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0.7262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Gardasil9 (hpv)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128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463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85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315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0.91 (0.72–1.16)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0.4344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Cervarix (hpv)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77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273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157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1.28 (0.93–1.74)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0.1255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Gardasil (hpv)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36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131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74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0.40 (0.21–0.75)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0.0041</w:t>
            </w:r>
          </w:p>
        </w:tc>
      </w:tr>
    </w:tbl>
    <w:p>
      <w:pPr>
        <w:spacing w:after="0" w:line="480"/>
      </w:pPr>
    </w:p>
    <w:p>
      <w:pPr>
        <w:spacing w:after="60" w:line="320"/>
        <w:jc w:val="left"/>
      </w:pPr>
      <w:r>
        <w:rPr>
          <w:rFonts w:ascii="Arial" w:cs="Arial" w:eastAsia="Arial" w:hAnsi="Arial"/>
          <w:b/>
          <w:bCs/>
          <w:i/>
          <w:iCs/>
          <w:sz w:val="18"/>
          <w:szCs w:val="18"/>
        </w:rPr>
        <w:t xml:space="preserve">B. Interaction model (likelihood-ratio test)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000"/>
        <w:gridCol w:w="600"/>
        <w:gridCol w:w="800"/>
        <w:gridCol w:w="1500"/>
        <w:gridCol w:w="1500"/>
        <w:gridCol w:w="1500"/>
      </w:tblGrid>
      <w:tr>
        <w:tc>
          <w:tcPr>
            <w:tcW w:type="dxa" w:w="18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Outcome</w:t>
            </w:r>
          </w:p>
        </w:tc>
        <w:tc>
          <w:tcPr>
            <w:tcW w:type="dxa" w:w="10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LRT χ²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df</w:t>
            </w:r>
          </w:p>
        </w:tc>
        <w:tc>
          <w:tcPr>
            <w:tcW w:type="dxa" w:w="8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</w:t>
            </w:r>
          </w:p>
        </w:tc>
        <w:tc>
          <w:tcPr>
            <w:tcW w:type="dxa" w:w="15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Gardasil 9 HR (95% CI)</w:t>
            </w:r>
          </w:p>
        </w:tc>
        <w:tc>
          <w:tcPr>
            <w:tcW w:type="dxa" w:w="15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Cervarix HR (95% CI)</w:t>
            </w:r>
          </w:p>
        </w:tc>
        <w:tc>
          <w:tcPr>
            <w:tcW w:type="dxa" w:w="15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Gardasil HR (95% CI)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Lesion recurrence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χ²=0.27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0.8747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0.76 (0.29–1.97)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0.97 (0.38–2.43)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0.63 (0.14–2.87)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HPV reinfection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χ²=6.60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0.0368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1.10 (0.90–1.33)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1.11 (0.81–1.51)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0.49 (0.26–0.93)</w:t>
            </w:r>
          </w:p>
        </w:tc>
      </w:tr>
    </w:tbl>
    <w:p>
      <w:pPr>
        <w:spacing w:after="80" w:line="320"/>
        <w:jc w:val="left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LRT, likelihood-ratio test. Reference category for vaccine type: Gardasil 9 (nonavalent). Ev, events; Vac, vaccinated; Ctl, control.</w:t>
      </w:r>
    </w:p>
    <w:p>
      <w:pPr>
        <w:spacing w:after="120" w:line="36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Table S7. Proportional-hazards assumption assessment by Schoenfeld residual rank test.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2200"/>
        <w:gridCol w:w="1200"/>
        <w:gridCol w:w="1200"/>
      </w:tblGrid>
      <w:tr>
        <w:tc>
          <w:tcPr>
            <w:tcW w:type="dxa" w:w="14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Cohort</w:t>
            </w:r>
          </w:p>
        </w:tc>
        <w:tc>
          <w:tcPr>
            <w:tcW w:type="dxa" w:w="24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Outcome</w:t>
            </w:r>
          </w:p>
        </w:tc>
        <w:tc>
          <w:tcPr>
            <w:tcW w:type="dxa" w:w="2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HR (95% CI)</w:t>
            </w:r>
          </w:p>
        </w:tc>
        <w:tc>
          <w:tcPr>
            <w:tcW w:type="dxa" w:w="1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 (HR)</w:t>
            </w:r>
          </w:p>
        </w:tc>
        <w:tc>
          <w:tcPr>
            <w:tcW w:type="dxa" w:w="1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Schoenfeld p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Any-of-5 (cause-specific)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1.26 (0.75–2.12)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0.34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MCE (cause-specific)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1.96 (0.31–12.44)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0.47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0.045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Diabetes (cause-specific)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1.25 (0.68–2.28)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Hypertension (cause-specific)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1.49 (0.53–4.18)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Lesion recurrence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0.76 (0.43–1.33)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0.59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HPV reinfection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0.97 (0.83–1.14)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0.12</w:t>
            </w:r>
          </w:p>
        </w:tc>
      </w:tr>
    </w:tbl>
    <w:p>
      <w:pPr>
        <w:spacing w:after="80" w:line="320"/>
        <w:jc w:val="left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HR, hazard ratio; CI, confidence interval; MCE, Major Cardiovascular Events. "—" indicates test not performed (insufficient events). Cluster-robust standard errors used throughout.</w:t>
      </w:r>
    </w:p>
    <w:p>
      <w:pPr>
        <w:spacing w:after="120" w:line="36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Table S8. Pseudo-index assignment sensitivity analysis for the Any-of-five composite (Cohort A).</w:t>
      </w:r>
    </w:p>
    <w:tbl>
      <w:tblPr>
        <w:tblW w:type="dxa" w:w="8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00"/>
        <w:gridCol w:w="600"/>
        <w:gridCol w:w="600"/>
        <w:gridCol w:w="600"/>
        <w:gridCol w:w="2200"/>
        <w:gridCol w:w="1000"/>
      </w:tblGrid>
      <w:tr>
        <w:tc>
          <w:tcPr>
            <w:tcW w:type="dxa" w:w="24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Strategy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 Vac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 Ctl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 Vac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 Ctl</w:t>
            </w:r>
          </w:p>
        </w:tc>
        <w:tc>
          <w:tcPr>
            <w:tcW w:type="dxa" w:w="2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HR (95% CI)</w:t>
            </w:r>
          </w:p>
        </w:tc>
        <w:tc>
          <w:tcPr>
            <w:tcW w:type="dxa" w:w="10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Random sample (primary)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2030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2038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29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1.26 (0.75–2.12)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0.377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Time-matched (calendar year)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2054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2064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27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1.27 (0.75–2.15)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0.378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Risk-set sampling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1096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1102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1.21 (0.55–2.66)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0.627</w:t>
            </w:r>
          </w:p>
        </w:tc>
      </w:tr>
    </w:tbl>
    <w:p>
      <w:pPr>
        <w:spacing w:after="80" w:line="320"/>
        <w:jc w:val="left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HR, hazard ratio; CI, confidence interval; Ev, events; Vac, vaccinated; Ctl, control.</w:t>
      </w:r>
    </w:p>
    <w:p>
      <w:pPr>
        <w:spacing w:after="120" w:line="36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Table S9. Dose-threshold sensitivity analysis: hazard ratios under ≥1, ≥2, and ≥3 (complete schedule) dose definitions for both cohorts.</w:t>
      </w:r>
    </w:p>
    <w:p>
      <w:pPr>
        <w:spacing w:after="60" w:line="320"/>
        <w:jc w:val="left"/>
      </w:pPr>
      <w:r>
        <w:rPr>
          <w:rFonts w:ascii="Arial" w:cs="Arial" w:eastAsia="Arial" w:hAnsi="Arial"/>
          <w:b/>
          <w:bCs/>
          <w:i/>
          <w:iCs/>
          <w:sz w:val="18"/>
          <w:szCs w:val="18"/>
        </w:rPr>
        <w:t xml:space="preserve">Cohort A (entire cohort)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600"/>
        <w:gridCol w:w="800"/>
        <w:gridCol w:w="600"/>
        <w:gridCol w:w="600"/>
        <w:gridCol w:w="600"/>
        <w:gridCol w:w="600"/>
        <w:gridCol w:w="2200"/>
        <w:gridCol w:w="900"/>
      </w:tblGrid>
      <w:tr>
        <w:tc>
          <w:tcPr>
            <w:tcW w:type="dxa" w:w="14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Outcome</w:t>
            </w:r>
          </w:p>
        </w:tc>
        <w:tc>
          <w:tcPr>
            <w:tcW w:type="dxa" w:w="1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Definition</w:t>
            </w:r>
          </w:p>
        </w:tc>
        <w:tc>
          <w:tcPr>
            <w:tcW w:type="dxa" w:w="8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Doses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 V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 C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 V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 C</w:t>
            </w:r>
          </w:p>
        </w:tc>
        <w:tc>
          <w:tcPr>
            <w:tcW w:type="dxa" w:w="2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HR (95% CI)</w:t>
            </w:r>
          </w:p>
        </w:tc>
        <w:tc>
          <w:tcPr>
            <w:tcW w:type="dxa" w:w="9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Any-of-5 composite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≥1 dose (primary)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2030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2038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29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1.26 (0.75–2.12)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0.374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Any-of-5 composite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≥2 doses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1715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1728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28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1.37 (0.80–2.36)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0.250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Any-of-5 composite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≥3 doses (complete)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1481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1494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27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1.38 (0.79–2.41)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0.253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MCE composite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≥1 dose (primary)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2053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2053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1.96 (0.31–12.46)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0.474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MCE composite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≥2 doses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1735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1735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1.90 (0.30–11.94)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0.495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MCE composite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≥3 doses (complete)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1498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1498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(–)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Diabetes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≥1 dose (primary)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2039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2043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1.25 (0.68–2.28)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0.475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Diabetes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≥2 doses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1723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1730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1.33 (0.72–2.47)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0.368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Diabetes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≥3 doses (complete)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1489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1496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1.28 (0.68–2.42)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0.439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Hypertension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≥1 dose (primary)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2044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2048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1.49 (0.53–4.19)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0.448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Hypertension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≥2 doses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1727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1733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1.80 (0.56–5.74)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0.323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Hypertension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≥3 doses (complete)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1490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1496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1.72 (0.54–5.48)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0.362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Angina/MI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≥1 dose (primary)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2053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2053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(–)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Angina/MI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≥2 doses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1735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1735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(–)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Angina/MI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≥3 doses (complete)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1498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1498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(–)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0" w:line="480"/>
      </w:pPr>
    </w:p>
    <w:p>
      <w:pPr>
        <w:spacing w:after="60" w:line="320"/>
        <w:jc w:val="left"/>
      </w:pPr>
      <w:r>
        <w:rPr>
          <w:rFonts w:ascii="Arial" w:cs="Arial" w:eastAsia="Arial" w:hAnsi="Arial"/>
          <w:b/>
          <w:bCs/>
          <w:i/>
          <w:iCs/>
          <w:sz w:val="18"/>
          <w:szCs w:val="18"/>
        </w:rPr>
        <w:t xml:space="preserve">Cohort B (surgical cohort)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600"/>
        <w:gridCol w:w="800"/>
        <w:gridCol w:w="600"/>
        <w:gridCol w:w="600"/>
        <w:gridCol w:w="600"/>
        <w:gridCol w:w="600"/>
        <w:gridCol w:w="2200"/>
        <w:gridCol w:w="900"/>
      </w:tblGrid>
      <w:tr>
        <w:tc>
          <w:tcPr>
            <w:tcW w:type="dxa" w:w="14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Outcome</w:t>
            </w:r>
          </w:p>
        </w:tc>
        <w:tc>
          <w:tcPr>
            <w:tcW w:type="dxa" w:w="1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Definition</w:t>
            </w:r>
          </w:p>
        </w:tc>
        <w:tc>
          <w:tcPr>
            <w:tcW w:type="dxa" w:w="8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Doses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 V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 C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 V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 C</w:t>
            </w:r>
          </w:p>
        </w:tc>
        <w:tc>
          <w:tcPr>
            <w:tcW w:type="dxa" w:w="2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HR (95% CI)</w:t>
            </w:r>
          </w:p>
        </w:tc>
        <w:tc>
          <w:tcPr>
            <w:tcW w:type="dxa" w:w="9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Lesion recurrence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≥1 dose (primary)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241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867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57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0.76 (0.43–1.33)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0.337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Lesion recurrence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≥2 doses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217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867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57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0.71 (0.39–1.30)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0.268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Lesion recurrence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≥3 doses (complete)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867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57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0.61 (0.31–1.20)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0.152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HPV reinfection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≥1 dose (primary)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241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867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149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546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0.97 (0.83–1.14)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0.712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HPV reinfection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≥2 doses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217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867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135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546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0.96 (0.82–1.14)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0.655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HPV reinfection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≥3 doses (complete)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867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121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546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1.02 (0.85–1.21)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0.863</w:t>
            </w:r>
          </w:p>
        </w:tc>
      </w:tr>
    </w:tbl>
    <w:p>
      <w:pPr>
        <w:spacing w:after="80" w:line="320"/>
        <w:jc w:val="left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HR, hazard ratio; CI, confidence interval; Ev, events; V, vaccinated; C, control. All models use cluster-robust standard errors. Cohort A models are cause-specific; Cohort B models are age-adjusted.</w:t>
      </w:r>
    </w:p>
    <w:p>
      <w:pPr>
        <w:spacing w:after="120" w:line="36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Table S10. Strict 1:4 fine-matching sensitivity analysis for Cohort B primary outcomes.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200"/>
        <w:gridCol w:w="600"/>
        <w:gridCol w:w="600"/>
        <w:gridCol w:w="600"/>
        <w:gridCol w:w="600"/>
        <w:gridCol w:w="2200"/>
        <w:gridCol w:w="900"/>
      </w:tblGrid>
      <w:tr>
        <w:tc>
          <w:tcPr>
            <w:tcW w:type="dxa" w:w="20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Outcome</w:t>
            </w:r>
          </w:p>
        </w:tc>
        <w:tc>
          <w:tcPr>
            <w:tcW w:type="dxa" w:w="2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Design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 V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 C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 V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 C</w:t>
            </w:r>
          </w:p>
        </w:tc>
        <w:tc>
          <w:tcPr>
            <w:tcW w:type="dxa" w:w="2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HR (95% CI)</w:t>
            </w:r>
          </w:p>
        </w:tc>
        <w:tc>
          <w:tcPr>
            <w:tcW w:type="dxa" w:w="9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Lesion recurrence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variable-ratio (1:up-to-4, primary)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241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867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57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0.76 (0.43–1.33)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0.337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Lesion recurrence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strict 1:4 (sensitivity)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772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50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0.69 (0.36–1.33)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0.269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HPV reinfection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variable-ratio (1:up-to-4, primary)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241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867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149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546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0.97 (0.83–1.14)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0.712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HPV reinfection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strict 1:4 (sensitivity)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772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117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485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0.94 (0.79–1.12)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0.511</w:t>
            </w:r>
          </w:p>
        </w:tc>
      </w:tr>
    </w:tbl>
    <w:p>
      <w:pPr>
        <w:spacing w:after="80" w:line="320"/>
        <w:jc w:val="left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HR, hazard ratio; CI, confidence interval; Ev, events; V, vaccinated; C, control. The strict 1:4 design retained only vaccinated cases with exactly four matched controls. Detectable HR at 80% power is shown for each design.</w:t>
      </w:r>
    </w:p>
    <w:p>
      <w:pPr>
        <w:spacing w:after="120" w:line="36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Table S11. Prescription-code vs. drug-name exposure-ascertainment cross-validation.</w:t>
      </w:r>
    </w:p>
    <w:tbl>
      <w:tblPr>
        <w:tblW w:type="dxa" w:w="6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2000"/>
      </w:tblGrid>
      <w:tr>
        <w:tc>
          <w:tcPr>
            <w:tcW w:type="dxa" w:w="40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Ascertainment method</w:t>
            </w:r>
          </w:p>
        </w:tc>
        <w:tc>
          <w:tcPr>
            <w:tcW w:type="dxa" w:w="20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Patients identified</w:t>
            </w:r>
          </w:p>
        </w:tc>
      </w:tr>
      <w:t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name match (current)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2156</w:t>
            </w:r>
          </w:p>
        </w:tc>
      </w:tr>
      <w:t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code match (codes seen in name-matched rows)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2156</w:t>
            </w:r>
          </w:p>
        </w:tc>
      </w:tr>
      <w:t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intersection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2156</w:t>
            </w:r>
          </w:p>
        </w:tc>
      </w:tr>
      <w:t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name-only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type="dxa" w:w="40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code-only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spacing w:after="80" w:line="320"/>
        <w:jc w:val="left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Name match used Korean and English brand names; code match used institution-specific drug-code prefixes. The two methods identified an identical set of 2,156 women (concordance 100%), with no name-only or code-only exposures.</w:t>
      </w:r>
    </w:p>
    <w:p>
      <w:pPr>
        <w:spacing w:after="120" w:line="36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Table S12. Vaccine-type recipient patterns including mixed-product recipients.</w:t>
      </w:r>
    </w:p>
    <w:tbl>
      <w:tblPr>
        <w:tblW w:type="dxa" w:w="6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2000"/>
      </w:tblGrid>
      <w:tr>
        <w:tc>
          <w:tcPr>
            <w:tcW w:type="dxa" w:w="40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Vaccine pattern</w:t>
            </w:r>
          </w:p>
        </w:tc>
        <w:tc>
          <w:tcPr>
            <w:tcW w:type="dxa" w:w="20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</w:t>
            </w:r>
          </w:p>
        </w:tc>
      </w:tr>
      <w:t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Single: Gardasil9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892</w:t>
            </w:r>
          </w:p>
        </w:tc>
      </w:tr>
      <w:t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Single: Cervarix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859</w:t>
            </w:r>
          </w:p>
        </w:tc>
      </w:tr>
      <w:t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Single: Gardasil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372</w:t>
            </w:r>
          </w:p>
        </w:tc>
      </w:tr>
      <w:t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Mixed: Gardasil9+Gardasil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</w:tr>
      <w:t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Mixed: Gardasil9+Cervarix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Mixed: Gardasil+Cervarix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__ANY mixed (&gt;1 type)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33</w:t>
            </w:r>
          </w:p>
        </w:tc>
      </w:tr>
      <w:tr>
        <w:tc>
          <w:tcPr>
            <w:tcW w:type="dxa" w:w="40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__first ≠ last vaccine type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33</w:t>
            </w:r>
          </w:p>
        </w:tc>
      </w:tr>
    </w:tbl>
    <w:p>
      <w:pPr>
        <w:spacing w:after="80" w:line="320"/>
        <w:jc w:val="left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For vaccine-type subgroup analyses, women who received more than one product were attributed by first-administered dose. Reclassification by last dose changed the assignment for these 33 women only and did not alter inferences.</w:t>
      </w:r>
    </w:p>
    <w:p>
      <w:pPr>
        <w:spacing w:after="120" w:line="36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Table S13. Landmark sensitivity analysis for the post-index hr-HPV detection outcome (Cohort B).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400"/>
        <w:gridCol w:w="600"/>
        <w:gridCol w:w="600"/>
        <w:gridCol w:w="600"/>
        <w:gridCol w:w="600"/>
        <w:gridCol w:w="2200"/>
        <w:gridCol w:w="900"/>
      </w:tblGrid>
      <w:tr>
        <w:tc>
          <w:tcPr>
            <w:tcW w:type="dxa" w:w="1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Landmark (days)</w:t>
            </w:r>
          </w:p>
        </w:tc>
        <w:tc>
          <w:tcPr>
            <w:tcW w:type="dxa" w:w="24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Definition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 V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 C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 V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 C</w:t>
            </w:r>
          </w:p>
        </w:tc>
        <w:tc>
          <w:tcPr>
            <w:tcW w:type="dxa" w:w="2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HR (95% CI)</w:t>
            </w:r>
          </w:p>
        </w:tc>
        <w:tc>
          <w:tcPr>
            <w:tcW w:type="dxa" w:w="9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Primary (any post-index detection)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241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867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149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546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0.91 (0.76–1.08)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0.272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180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Landmark 6 months (likely persistent)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189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587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97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272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1.18 (0.94–1.48)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0.149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365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Landmark 12 months (clearance window)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138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455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51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150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1.15 (0.84–1.57)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0.378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730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Landmark 24 months (true new acquisition)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114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384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34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108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1.08 (0.74–1.57)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0.698</w:t>
            </w:r>
          </w:p>
        </w:tc>
      </w:tr>
    </w:tbl>
    <w:p>
      <w:pPr>
        <w:spacing w:after="80" w:line="320"/>
        <w:jc w:val="left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HR, hazard ratio; CI, confidence interval; Ev, events; V, vaccinated; C, control. In each landmark analysis, women with a positive hr-HPV record before the landmark and women whose follow-up ended before the landmark were excluded. The shift from HR &lt; 1 (primary) to HR &gt; 1 (landmark) suggests that the primary estimate is driven by faster clearance of pre-surgical viral DNA in the vaccinated arm rather than protection against new acquisition.</w:t>
      </w:r>
    </w:p>
    <w:p>
      <w:pPr>
        <w:spacing w:after="120" w:line="36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Figure S1. Love plot showing absolute standardised mean differences before and after propensity-score matching (Cohort A).</w:t>
      </w:r>
    </w:p>
    <w:p>
      <w:pPr>
        <w:spacing w:after="120" w:line="240"/>
        <w:jc w:val="center"/>
      </w:pPr>
      <w:r>
        <w:drawing>
          <wp:inline distT="0" distB="0" distL="0" distR="0">
            <wp:extent cx="4762500" cy="3505200"/>
            <wp:effectExtent t="0" r="0" b="0" l="0"/>
            <wp:docPr id="1" name="SupFigS1_loveplot_cohortA.png" descr="SupFigS1_loveplot_cohortA.png" title="SupFigS1_loveplot_cohort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line="480"/>
      </w:pPr>
    </w:p>
    <w:p>
      <w:pPr>
        <w:spacing w:after="120" w:line="36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Figure S2. Love plot showing absolute standardised mean differences before and after fine matching (Cohort B).</w:t>
      </w:r>
    </w:p>
    <w:p>
      <w:pPr>
        <w:spacing w:after="120" w:line="240"/>
        <w:jc w:val="center"/>
      </w:pPr>
      <w:r>
        <w:drawing>
          <wp:inline distT="0" distB="0" distL="0" distR="0">
            <wp:extent cx="4762500" cy="2114550"/>
            <wp:effectExtent t="0" r="0" b="0" l="0"/>
            <wp:docPr id="1" name="SupFigS2_loveplot_cohortB.png" descr="SupFigS2_loveplot_cohortB.png" title="SupFigS2_loveplot_cohortB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line="480"/>
      </w:pPr>
    </w:p>
    <w:p>
      <w:pPr>
        <w:spacing w:after="120" w:line="36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Figure S3. Propensity-score density distributions before and after 1:1 nearest-neighbour matching (Cohort A).</w:t>
      </w:r>
    </w:p>
    <w:p>
      <w:pPr>
        <w:spacing w:after="120" w:line="240"/>
        <w:jc w:val="center"/>
      </w:pPr>
      <w:r>
        <w:drawing>
          <wp:inline distT="0" distB="0" distL="0" distR="0">
            <wp:extent cx="5238750" cy="2085975"/>
            <wp:effectExtent t="0" r="0" b="0" l="0"/>
            <wp:docPr id="1" name="SupFigS3_ps_density.png" descr="SupFigS3_ps_density.png" title="SupFigS3_ps_densit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line="480"/>
      </w:pPr>
    </w:p>
    <w:p>
      <w:pPr>
        <w:spacing w:after="120" w:line="36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Figure S4. Scaled Schoenfeld residual plots for the Cohort A (entire cohort) primary models.</w:t>
      </w:r>
    </w:p>
    <w:p>
      <w:pPr>
        <w:spacing w:after="60" w:line="320"/>
        <w:jc w:val="left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(a) Any-of-five composite (vaccination covariate)</w:t>
      </w:r>
    </w:p>
    <w:p>
      <w:pPr>
        <w:spacing w:after="120" w:line="240"/>
        <w:jc w:val="center"/>
      </w:pPr>
      <w:r>
        <w:drawing>
          <wp:inline distT="0" distB="0" distL="0" distR="0">
            <wp:extent cx="4286250" cy="3228975"/>
            <wp:effectExtent t="0" r="0" b="0" l="0"/>
            <wp:docPr id="1" name="PH_check_A_0.png" descr="PH_check_A_0.png" title="PH_check_A_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20"/>
        <w:jc w:val="left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(b) Diabetes mellitus (vaccination covariate)</w:t>
      </w:r>
    </w:p>
    <w:p>
      <w:pPr>
        <w:spacing w:after="120" w:line="240"/>
        <w:jc w:val="center"/>
      </w:pPr>
      <w:r>
        <w:drawing>
          <wp:inline distT="0" distB="0" distL="0" distR="0">
            <wp:extent cx="4286250" cy="3228975"/>
            <wp:effectExtent t="0" r="0" b="0" l="0"/>
            <wp:docPr id="1" name="PH_check_A_1.png" descr="PH_check_A_1.png" title="PH_check_A_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line="320"/>
        <w:jc w:val="left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The solid line represents the locally weighted scatterplot smoother (LOESS) of the scaled Schoenfeld residuals; the dashed horizontal line indicates the expected value under proportional hazards. A non-random pattern would suggest time-varying coefficients.</w:t>
      </w:r>
    </w:p>
    <w:p>
      <w:pPr>
        <w:spacing w:after="0" w:line="480"/>
      </w:pPr>
    </w:p>
    <w:p>
      <w:pPr>
        <w:spacing w:after="120" w:line="36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Figure S5. Scaled Schoenfeld residual plots for the Cohort B (surgical cohort) primary models.</w:t>
      </w:r>
    </w:p>
    <w:p>
      <w:pPr>
        <w:spacing w:after="60" w:line="320"/>
        <w:jc w:val="left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(a) Lesion recurrence (vaccination covariate)</w:t>
      </w:r>
    </w:p>
    <w:p>
      <w:pPr>
        <w:spacing w:after="120" w:line="240"/>
        <w:jc w:val="center"/>
      </w:pPr>
      <w:r>
        <w:drawing>
          <wp:inline distT="0" distB="0" distL="0" distR="0">
            <wp:extent cx="4286250" cy="3228975"/>
            <wp:effectExtent t="0" r="0" b="0" l="0"/>
            <wp:docPr id="1" name="PH_check_B_has_recurrence.png" descr="PH_check_B_has_recurrence.png" title="PH_check_B_has_recurren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20"/>
        <w:jc w:val="left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(b) Post-index hr-HPV detection (vaccination covariate)</w:t>
      </w:r>
    </w:p>
    <w:p>
      <w:pPr>
        <w:spacing w:after="120" w:line="240"/>
        <w:jc w:val="center"/>
      </w:pPr>
      <w:r>
        <w:drawing>
          <wp:inline distT="0" distB="0" distL="0" distR="0">
            <wp:extent cx="4286250" cy="3257550"/>
            <wp:effectExtent t="0" r="0" b="0" l="0"/>
            <wp:docPr id="1" name="PH_check_B_has_hpv_infection.png" descr="PH_check_B_has_hpv_infection.png" title="PH_check_B_has_hpv_infect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line="320"/>
        <w:jc w:val="left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The solid line represents the LOESS smoother of the scaled Schoenfeld residuals. The Schoenfeld rank test p-values were 0.59 (recurrence) and 0.12 (hr-HPV detection), indicating no evidence against the proportional-hazards assumption.</w:t>
      </w:r>
    </w:p>
    <w:sectPr>
      <w:headerReference w:type="default" r:id="rId7"/>
      <w:footerReference w:type="default" r:id="rId8"/>
      <w:pgSz w:w="11906" w:h="16838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22"/>
        <w:szCs w:val="22"/>
      </w:rPr>
      <w:t xml:space="preserve">S-</w:t>
    </w:r>
    <w:r>
      <w:rPr>
        <w:rFonts w:ascii="Arial" w:cs="Arial" w:eastAsia="Arial" w:hAnsi="Arial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sz w:val="18"/>
        <w:szCs w:val="18"/>
      </w:rPr>
      <w:t xml:space="preserve">Supplementary Materials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4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fa459b3757c96c919ea8ca1bb910fe976806247.png"/><Relationship Id="rId10" Type="http://schemas.openxmlformats.org/officeDocument/2006/relationships/image" Target="media/65efaafa2ad9b2a4acf96ccb0f261b1d43fbb63d.png"/><Relationship Id="rId11" Type="http://schemas.openxmlformats.org/officeDocument/2006/relationships/image" Target="media/cb81433be28caba4d1501073a4053e5ac410be10.png"/><Relationship Id="rId12" Type="http://schemas.openxmlformats.org/officeDocument/2006/relationships/image" Target="media/233275bfdf36d1139636fa2f6c795209fd4f1a1d.png"/><Relationship Id="rId13" Type="http://schemas.openxmlformats.org/officeDocument/2006/relationships/image" Target="media/30240ca426be0d1a00eb01989d8e842200078ced.png"/><Relationship Id="rId14" Type="http://schemas.openxmlformats.org/officeDocument/2006/relationships/image" Target="media/b05ab2029013e0d9ee8dca080d5d1cc25dba634e.png"/><Relationship Id="rId15" Type="http://schemas.openxmlformats.org/officeDocument/2006/relationships/image" Target="media/5f36067b09e374a03bf62116969063fde553f018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2026-05-08T12:40:47.862Z</dcterms:created>
  <dcterms:modified xsi:type="dcterms:W3CDTF">2026-05-08T12:40:47.862Z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