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Tables and Figures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lesions: a prospective–retrospective cohort study using Korean clinical data warehouse</w:t>
      </w:r>
    </w:p>
    <w:p>
      <w:pPr>
        <w:spacing w:after="0" w:line="480"/>
      </w:pPr>
    </w:p>
    <w:p>
      <w:pPr>
        <w:spacing w:after="0" w:line="480"/>
      </w:pP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1.</w:t>
      </w:r>
      <w:r>
        <w:rPr>
          <w:rFonts w:ascii="Arial" w:cs="Arial" w:eastAsia="Arial" w:hAnsi="Arial"/>
          <w:sz w:val="22"/>
          <w:szCs w:val="22"/>
        </w:rPr>
        <w:t xml:space="preserve"> Baseline characteristics of the analytic cohorts after matching</w:t>
      </w:r>
    </w:p>
    <w:p>
      <w:pPr>
        <w:spacing w:after="0" w:line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  <w:gridCol w:w="1200"/>
      </w:tblGrid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Characteristic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(a) Entire cohort (Cohort A; propensity-score matched, 1:1)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 (n = 2,052)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 (n = 2,052)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33.73 ± 9.14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33.55 ± 11.46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1982.04 ± 10.06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1981.29 ± 11.21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2015.73 ± 4.12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2014.79 ± 3.81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0.238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714 (34.8%)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708 (34.5%)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Anthropometry and vital signs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161.36 ± 5.33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160.63 ± 5.34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57.58 ± 9.81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56.87 ± 10.12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22.15 ± 3.56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22.06 ± 3.69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0.024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113.36 ± 13.26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112.64 ± 15.01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70.86 ± 10.70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70.44 ± 11.03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629 (30.6%)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624 (30.4%)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0.005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(0.3%)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 (1.5%)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 (1.7%)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0.015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1384 (67.4%)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1387 (67.6%)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Pre-existing comorbidities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(0.2%)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 (0.7%)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(1.1%)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2195.52 ± 1721.94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2725.86 ± 1581.00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0.321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(0.2%)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(1.1%)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0.107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(b) Surgical cohort (Cohort B; fine-matched, variable ratio up to 1:4)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 (n = 241)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 (n = 868)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37.26 ± 9.45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37.17 ± 8.53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1979.56 ± 10.22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1979.57 ± 9.43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2016.76 ± 3.82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2016.69 ± 3.74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 (27.4%)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257 (29.6%)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Anthropometry and vital signs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160.38 ± 4.95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160.97 ± 5.43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57.14 ± 9.11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57.14 ± 9.39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22.19 ± 3.52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22.15 ± 3.44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113.43 ± 13.03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112.72 ± 13.74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72.06 ± 10.53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71.31 ± 11.83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0.067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 (45.6%)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379 (43.7%)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(4.1%)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 (3.3%)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121 (50.2%)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453 (52.2%)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Pre-existing comorbidities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(1.7%)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0.090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(1.2%)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 (1.3%)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(2.9%)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(1.7%)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Surgical procedure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Conisation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 (99.6%)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861 (99.3%)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36.68 ± 9.27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36.75 ± 8.51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2016.18 ± 3.79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2016.27 ± 3.72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213.25 ± 380.70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153.59 ± 209.66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0.194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2233.95 ± 1404.53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2236.13 ± 1351.73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(0.5%)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0.096</w:t>
            </w:r>
          </w:p>
        </w:tc>
      </w:tr>
    </w:tbl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Data are presented as mean ± SD or n (%). Covariate balance was assessed using absolute SMD; values below 0.10 indicate adequate balance. P-values are not reported for matched comparisons because SMD is the preferred balance diagnostic.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SMD, standardised mean difference; BMI, body mass index; SBP, systolic blood pressure; DBP, diastolic blood pressure; MI, myocardial infarction.</w:t>
      </w:r>
    </w:p>
    <w:p>
      <w:pPr>
        <w:spacing w:after="0" w:line="480"/>
      </w:pP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2.</w:t>
      </w:r>
      <w:r>
        <w:rPr>
          <w:rFonts w:ascii="Arial" w:cs="Arial" w:eastAsia="Arial" w:hAnsi="Arial"/>
          <w:sz w:val="22"/>
          <w:szCs w:val="22"/>
        </w:rPr>
        <w:t xml:space="preserve"> Cause-specific and subdistribution hazard ratios for chronic-disease endpoints in the entire cohort (Cohort A, N = 4,102)</w:t>
      </w:r>
    </w:p>
    <w:p>
      <w:pPr>
        <w:pageBreakBefore/>
        <w:spacing w:after="0" w:line="12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50"/>
        <w:gridCol w:w="650"/>
        <w:gridCol w:w="850"/>
        <w:gridCol w:w="850"/>
        <w:gridCol w:w="650"/>
        <w:gridCol w:w="650"/>
        <w:gridCol w:w="1800"/>
        <w:gridCol w:w="1800"/>
      </w:tblGrid>
      <w:tr>
        <w:tc>
          <w:tcPr>
            <w:tcW w:type="dxa" w:w="16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Outcome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(C)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(V)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(C)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csHR (95% CI)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sHR (95% CI)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12,324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15,317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12,246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15,266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1.49 (0.53–4.19)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1.50 (0.54–4.14)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12,201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15,190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1.25 (0.69–2.28)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12,341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15,322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12,341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15,320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MCE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12,324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15,315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0.2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1.96 (0.31–12.46)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1.95 (0.33–11.71)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Any of five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29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30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12,106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15,130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2.4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2.0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1.27 (0.76–2.12)</w:t>
            </w:r>
          </w:p>
        </w:tc>
      </w:tr>
    </w:tbl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All hazard ratios were estimated with cluster-robust standard errors. The competing event for the subdistribution model was death from any cause (n = 28). Estimates were not computed when fewer than three events occurred in either group (—).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Ev, events; PY, person-years; IR, incidence rate per 1,000 person-years; csHR, cause-specific hazard ratio; sHR, subdistribution hazard ratio (Fine–Gray); MI, myocardial infarction; MCE, major cardiovascular event (myocardial infarction, stroke, or pulmonary embolism); V, vaccinated; C, unvaccinated control.</w:t>
      </w:r>
    </w:p>
    <w:p>
      <w:pPr>
        <w:spacing w:after="0" w:line="480"/>
      </w:pP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3.</w:t>
      </w:r>
      <w:r>
        <w:rPr>
          <w:rFonts w:ascii="Arial" w:cs="Arial" w:eastAsia="Arial" w:hAnsi="Arial"/>
          <w:sz w:val="22"/>
          <w:szCs w:val="22"/>
        </w:rPr>
        <w:t xml:space="preserve"> Age-adjusted hazard ratios for post-surgical outcomes in the surgical cohort (Cohort B, N = 1,108)</w:t>
      </w:r>
    </w:p>
    <w:p>
      <w:pPr>
        <w:pageBreakBefore/>
        <w:spacing w:after="0" w:line="120"/>
      </w:pP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"/>
        <w:gridCol w:w="650"/>
        <w:gridCol w:w="650"/>
        <w:gridCol w:w="650"/>
        <w:gridCol w:w="850"/>
        <w:gridCol w:w="850"/>
        <w:gridCol w:w="650"/>
        <w:gridCol w:w="650"/>
        <w:gridCol w:w="1800"/>
        <w:gridCol w:w="700"/>
      </w:tblGrid>
      <w:tr>
        <w:tc>
          <w:tcPr>
            <w:tcW w:type="dxa" w:w="20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Outcome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(C)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(V)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(C)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(95% CI)</w:t>
            </w:r>
          </w:p>
        </w:tc>
        <w:tc>
          <w:tcPr>
            <w:tcW w:type="dxa" w:w="7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20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Lesion recurrence (HSIL/CIN3+)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1,474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5,308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8.8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10.7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0.76 (0.43–1.33)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0.337</w:t>
            </w:r>
          </w:p>
        </w:tc>
      </w:tr>
      <w:tr>
        <w:tc>
          <w:tcPr>
            <w:tcW w:type="dxa" w:w="20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High-risk HPV reinfection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1,474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5,308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101.1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102.9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0.97 (0.83–1.14)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0.712</w:t>
            </w:r>
          </w:p>
        </w:tc>
      </w:tr>
    </w:tbl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Hazard ratios were estimated from Cox proportional-hazards models with cluster-robust standard errors, adjusted for age at index date. No multiplicity adjustment was applied.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Ev, events; PY, person-years; IR, incidence rate per 1,000 person-years; HR, hazard ratio; CI, confidence interval; HSIL, high-grade squamous intraepithelial lesion; CIN3, cervical intraepithelial neoplasia grade 3; HPV, human papillomavirus; V, vaccinated; C, unvaccinated control.</w:t>
      </w: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1.</w:t>
      </w:r>
      <w:r>
        <w:rPr>
          <w:rFonts w:ascii="Arial" w:cs="Arial" w:eastAsia="Arial" w:hAnsi="Arial"/>
          <w:sz w:val="22"/>
          <w:szCs w:val="22"/>
        </w:rPr>
        <w:t xml:space="preserve"> Construction of the two analytic cohorts from a single source population (Korean HPV cohort, 2009–2024)</w:t>
      </w:r>
    </w:p>
    <w:p>
      <w:pPr>
        <w:pageBreakBefore/>
        <w:spacing w:after="0" w:line="120"/>
      </w:pPr>
    </w:p>
    <w:p>
      <w:pPr>
        <w:spacing w:after="120" w:line="240"/>
        <w:jc w:val="center"/>
      </w:pPr>
      <w:r>
        <w:drawing>
          <wp:inline distT="0" distB="0" distL="0" distR="0">
            <wp:extent cx="5715000" cy="4143375"/>
            <wp:effectExtent t="0" r="0" b="0" l="0"/>
            <wp:docPr id="1" name="Figure1_CohortSelection.png" descr="Figure1_CohortSelection.png" title="Figure1_CohortSel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A total of 32,969 women were enrolled prospectively. Receipt of HPV vaccination was ascertained from the clinical data warehouse prescription file by joint matching on drug names and institution-specific drug-code prefixes (concordance 100%). Cohort A (long-term safety) applied 1:1 propensity-score matching (caliper 0.2 × SD[logit PS], without replacement), yielding 2,051 vaccinated and 2,051 unvaccinated women (n = 4,102). Cohort B (post-surgical efficacy) was restricted to 6,890 women who underwent cervical conisation or hysterectomy and applied a two-step variable-ratio matching procedure, producing 241 vaccinated and 867 unvaccinated women (n = 1,108; mean ratio 3.60).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PSM, propensity-score matching; CDW, clinical data warehouse; HSIL, high-grade squamous intraepithelial lesion; CIN3, cervical intraepithelial neoplasia grade 3; BMI, body mass index.</w:t>
      </w: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2.</w:t>
      </w:r>
      <w:r>
        <w:rPr>
          <w:rFonts w:ascii="Arial" w:cs="Arial" w:eastAsia="Arial" w:hAnsi="Arial"/>
          <w:sz w:val="22"/>
          <w:szCs w:val="22"/>
        </w:rPr>
        <w:t xml:space="preserve"> Aalen–Johansen cumulative incidence functions and forest plot of cause-specific hazard ratios for chronic-disease endpoints in the entire cohort (Cohort A, N = 4,102)</w:t>
      </w:r>
    </w:p>
    <w:p>
      <w:pPr>
        <w:pageBreakBefore/>
        <w:spacing w:after="0" w:line="120"/>
      </w:pPr>
    </w:p>
    <w:p>
      <w:pPr>
        <w:spacing w:after="120" w:line="240"/>
        <w:jc w:val="center"/>
      </w:pPr>
      <w:r>
        <w:drawing>
          <wp:inline distT="0" distB="0" distL="0" distR="0">
            <wp:extent cx="5715000" cy="3524250"/>
            <wp:effectExtent t="0" r="0" b="0" l="0"/>
            <wp:docPr id="1" name="Figure2_CohortA_CIF_HR.png" descr="Figure2_CohortA_CIF_HR.png" title="Figure2_CohortA_CIF_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Death from any cause was treated as a competing event. Shaded bands represent 95% confidence intervals. The forest plot displays cause-specific hazard ratios with 95% confidence intervals estimated using cluster-robust standard errors.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CIF, cumulative incidence function; csHR, cause-specific hazard ratio; CI, confidence interval; MI, myocardial infarction; MCE, major cardiovascular event.</w:t>
      </w: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3.</w:t>
      </w:r>
      <w:r>
        <w:rPr>
          <w:rFonts w:ascii="Arial" w:cs="Arial" w:eastAsia="Arial" w:hAnsi="Arial"/>
          <w:sz w:val="22"/>
          <w:szCs w:val="22"/>
        </w:rPr>
        <w:t xml:space="preserve"> Cumulative incidence curves for post-surgical outcomes in the surgical cohort (Cohort B, N = 1,108)</w:t>
      </w:r>
    </w:p>
    <w:p>
      <w:pPr>
        <w:pageBreakBefore/>
        <w:spacing w:after="0" w:line="120"/>
      </w:pPr>
    </w:p>
    <w:p>
      <w:pPr>
        <w:spacing w:after="120" w:line="240"/>
        <w:jc w:val="center"/>
      </w:pPr>
      <w:r>
        <w:drawing>
          <wp:inline distT="0" distB="0" distL="0" distR="0">
            <wp:extent cx="5715000" cy="3457575"/>
            <wp:effectExtent t="0" r="0" b="0" l="0"/>
            <wp:docPr id="1" name="Figure3_CohortB_CIF.png" descr="Figure3_CohortB_CIF.png" title="Figure3_CohortB_CI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Cumulative incidence was estimated as 1 minus the Kaplan–Meier estimator for (a) biopsy-confirmed lesion recurrence (HSIL/CIN3+) and (b) high-risk HPV reinfection. Because deaths were rare in this young post-surgical cohort, the 1 − S(t) estimator approximates the Aalen–Johansen cumulative incidence function to within rounding error. Shaded bands represent 95% confidence intervals.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HSIL, high-grade squamous intraepithelial lesion; CIN3, cervical intraepithelial neoplasia grade 3; HPV, human papillomavirus; CI, confidence interval.</w:t>
      </w: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4.</w:t>
      </w:r>
      <w:r>
        <w:rPr>
          <w:rFonts w:ascii="Arial" w:cs="Arial" w:eastAsia="Arial" w:hAnsi="Arial"/>
          <w:sz w:val="22"/>
          <w:szCs w:val="22"/>
        </w:rPr>
        <w:t xml:space="preserve"> Subgroup analyses for post-surgical outcomes in the surgical cohort (Cohort B)</w:t>
      </w:r>
    </w:p>
    <w:p>
      <w:pPr>
        <w:pageBreakBefore/>
        <w:spacing w:after="0" w:line="120"/>
      </w:pPr>
    </w:p>
    <w:p>
      <w:pPr>
        <w:spacing w:after="120" w:line="24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Figure4_CohortB_Subgroup.png" descr="Figure4_CohortB_Subgroup.png" title="Figure4_CohortB_Sub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(a) Forest plot of hazard ratios by vaccine type (nonavalent, bivalent, quadrivalent) for lesion recurrence and high-risk HPV reinfection. (b) Forest plot of pre-specified age-stratum by follow-up-duration subgroup analysis for lesion recurrence. Hazard ratios were estimated from Cox proportional-hazards models with cluster-robust standard errors, adjusted for age at index date.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HPV, human papillomavirus; HSIL, high-grade squamous intraepithelial lesion; CIN3, cervical intraepithelial neoplasia grade 3.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HPV vaccination — Tables and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1e8981200cc54eac071f6c1c7122dd1cfccf0.png"/><Relationship Id="rId10" Type="http://schemas.openxmlformats.org/officeDocument/2006/relationships/image" Target="media/1e2328939c29cf784bf155454e2f847f009b4a55.png"/><Relationship Id="rId11" Type="http://schemas.openxmlformats.org/officeDocument/2006/relationships/image" Target="media/6797813e917bd8595ab973d679587a570f0b6968.png"/><Relationship Id="rId12" Type="http://schemas.openxmlformats.org/officeDocument/2006/relationships/image" Target="media/af9c145d94ce8c5d7e986f28913f251d41cce47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2026-05-08T12:38:44.724Z</dcterms:created>
  <dcterms:modified xsi:type="dcterms:W3CDTF">2026-05-08T12:38:44.724Z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