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1:up-to-4 fine matching, and the primary exposure filter (≥2 doses + 3-month landmark with matched-set integrity preserved) yielding the primary analytic cohort n = 934 (204 vaccinated / 730 controls).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01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6844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lesion-recurrence analytic sample (n = 912: 203 vaccinated / 709 controls); (b) cumulative clearance of pre-existing hr-HPV (two-consecutive-negative event) in the clearance subset (n = 235: 92 vaccinated / 143 controls). The x-axis is years from the 3-month landmark (index + 90 days). For clearance, HR &gt; 1 favours the vaccinated arm.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7320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32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of Cohort A (chronic-disease safety analysis) after 1:1 propensity-score matching and primary exposure filtering. N = 2,776 (1,396 vaccinated / 1,380 matched controls).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33.90 ± 9.34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33.27 ± 11.54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1982.36 ± 10.23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1981.42 ± 11.23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2016.21 ± 3.92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2014.63 ± 3.77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437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468 (33.9%)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161.10 ± 5.38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160.66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57.54 ± 10.00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56.53 ± 9.91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22.75 ± 2.35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22.70 ± 2.28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116.09 ± 9.63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115.81 ± 10.23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72.42 ± 7.49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72.12 ± 7.58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458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421 (30.5%)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908 (65.0%)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927 (67.2%)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 (1.3%)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2071.01 ± 1566.61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2792.10 ± 1562.27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of Cohort B (post-surgical efficacy analysis) after variable-ratio 1:up-to-4 fine matching and primary exposure filtering. N = 934 (204 vaccinated / 730 fine-matched controls). Absolute standardised mean differences (|SMD|) &lt; 0.10 indicate adequate balance. Pre- and post-surgery HPV status and surgical-pathology severity rows characterise the cervical-disease context at the time of the qualifying surgery.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(n=934: 204 vac / 730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36.96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36.92 ± 8.37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0.959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22.49 ± 3.64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113.50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112.90 ± 13.73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72.15 ± 10.46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71.58 ± 11.96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163 (79.9%)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645 (88.4%)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209 (28.6%)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6.10 ± 3.84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5.98 ± 3.57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2016.37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2016.50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0.652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203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725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131 (17.9%)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255 (34.9%)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360 (49.3%)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87 (11.9%)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145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484 (66.3%)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79 (10.8%)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317 (43.4%)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83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(28.2%)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323 (44.2%)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0.047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18 / 1378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1371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2.32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2.01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1388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1378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16 / 1386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17 / 1373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2.05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601 (46.6)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reversion-free)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0.58 (0.27–1.26)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hr-HPV clearance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