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Both cohorts share a pre-specified primary exposure of</w:t>
      </w:r>
      <w:r>
        <w:t xml:space="preserve"> </w:t>
      </w:r>
      <w:r>
        <w:rPr>
          <w:b/>
          <w:bCs/>
        </w:rPr>
        <w:t xml:space="preserve">at least two documented HPV-vaccine prescription dates with a symmetric 3-month landmark</w:t>
      </w:r>
      <w:r>
        <w:t xml:space="preserve"> </w:t>
      </w:r>
      <w:r>
        <w:t xml:space="preserve">applied across arms to mitigate immortal-time selection. Cohort A (chronic-disease safety) was built from a 1:1 propensity-score matched dataset (2,053 / 2,053) and then filtered to the v3 primary, yielding</w:t>
      </w:r>
      <w:r>
        <w:t xml:space="preserve"> </w:t>
      </w:r>
      <w:r>
        <w:rPr>
          <w:b/>
          <w:bCs/>
        </w:rPr>
        <w:t xml:space="preserve">n = 2,776 (1,396 vaccinated, 1,380 matched controls)</w:t>
      </w:r>
      <w:r>
        <w:t xml:space="preserve">. Cohort B (post-surgical efficacy) was matched separately (variable-ratio 1:up-to-4) and filtered to the v3 primary at</w:t>
      </w:r>
      <w:r>
        <w:t xml:space="preserve"> </w:t>
      </w:r>
      <w:r>
        <w:rPr>
          <w:b/>
          <w:bCs/>
        </w:rPr>
        <w:t xml:space="preserve">n = 934 (204 vaccinated, 730 fine-matched controls)</w:t>
      </w:r>
      <w:r>
        <w:t xml:space="preserve">. All post-matching standardised mean differences were below 0.10. In Cohort A under the v3 primary, vaccination was not associated with chronic-disease incidence (Any-of-five hazard ratio 1.28, 95% confidence interval 0.66–2.48; 18 vaccinated and 21 unvaccinated events over 7,421 and 10,090 person-years; cause-specific Cox with cluster-robust standard errors on the PSM pair identifier). Legacy ≥1-dose, no-landmark Cohort A estimates (Any-of-five HR 1.26, 0.75–2.12) are retained as Sens-C for backward comparability. In Cohort B the two co-primary outcomes were biopsy-confirmed lesion recurrence (≥CIN2) and hr-HPV clearance, defined as the first of two consecutive post-landmark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intermediate legacy Cohort B at this stage comprised 241 vaccinated and 867 unvaccinated women (n = 1,108). The pre-specified</w:t>
      </w:r>
      <w:r>
        <w:t xml:space="preserve"> </w:t>
      </w:r>
      <w:r>
        <w:rPr>
          <w:b/>
          <w:bCs/>
        </w:rPr>
        <w:t xml:space="preserve">v3 primary</w:t>
      </w:r>
      <w:r>
        <w:t xml:space="preserve"> </w:t>
      </w:r>
      <w:r>
        <w:t xml:space="preserve">exposure definition was then applied: vaccinated cases failing the ≥2-dose threshold (36 cases) had their full matched set removed, and any patient (either arm) failing the 3-month landmark follow-up filter (5 patients) was excluded — yielding the</w:t>
      </w:r>
      <w:r>
        <w:t xml:space="preserve"> </w:t>
      </w:r>
      <w:r>
        <w:rPr>
          <w:b/>
          <w:bCs/>
        </w:rPr>
        <w:t xml:space="preserve">v3 primary Cohort B of n = 934 (204 vaccinated, 730 fine-matched controls)</w:t>
      </w:r>
      <w:r>
        <w:t xml:space="preserve">, which is the analytic population for all Cohort B primary inferences.</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post-landmark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3-month landmark (index + 90 days) to the FIRST of two consecutive post-landmark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Cohort A, person-years were accumulated from the index date to the first event, death, or last follow-up. For Cohort B under the v3 primary, person-years were accumulated from the 3-month landmark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rPr>
          <w:b/>
          <w:bCs/>
        </w:rPr>
        <w:t xml:space="preserve">Both Cohort A and Cohort B share a single v3 primary exposure definition</w:t>
      </w:r>
      <w:r>
        <w:t xml:space="preserve"> </w:t>
      </w:r>
      <w:r>
        <w:t xml:space="preserve">for methodological consistency: at least two documented HPV-vaccine prescription dates plus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pair (Cohort A; 1:1 PSM</w:t>
      </w:r>
      <w:r>
        <w:t xml:space="preserve"> </w:t>
      </w:r>
      <w:r>
        <w:rPr>
          <w:rStyle w:val="VerbatimChar"/>
        </w:rPr>
        <w:t xml:space="preserve">pair_id</w:t>
      </w:r>
      <w:r>
        <w:t xml:space="preserve">) or full fine-matched set (Cohort B; 1:up-to-4</w:t>
      </w:r>
      <w:r>
        <w:t xml:space="preserve"> </w:t>
      </w:r>
      <w:r>
        <w:rPr>
          <w:rStyle w:val="VerbatimChar"/>
        </w:rPr>
        <w:t xml:space="preserve">fine_match_id</w:t>
      </w:r>
      <w:r>
        <w:t xml:space="preserve">)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under the legacy primary, a pre-specified piecewise Cox model decomposed the v3 average hazard ratio into period-specific estimates for 0–6, 6–12, 12–24, and ≥24 months post-landmark,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w:t>
      </w:r>
      <w:r>
        <w:t xml:space="preserve">7</w:t>
      </w:r>
      <w:r>
        <w:t xml:space="preserve"> </w:t>
      </w:r>
      <w:r>
        <w:t xml:space="preserve">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Sens-D tests the robustness of the</w:t>
      </w:r>
      <w:r>
        <w:t xml:space="preserve"> </w:t>
      </w:r>
      <w:r>
        <w:rPr>
          <w:b/>
          <w:bCs/>
        </w:rPr>
        <w:t xml:space="preserve">matching structure</w:t>
      </w:r>
      <w:r>
        <w:t xml:space="preserve"> </w:t>
      </w:r>
      <w:r>
        <w:t xml:space="preserve">(variable-ratio vs strict 1:4 fine matching), independently of the v3 exposure-definition change. To isolate this question the analysis was run on the legacy ≥1-dose, no-landmark cohort (n = 241 vaccinated / 867 controls under variable-ratio; n = 193 / 772 under strict 1:4), where the variable-ratio (1:up-to-4) primary fine-matching procedure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and the small absolute event count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Under the v3 primary specification (≥2-dose + 3-month landmark applied to the 1:1 PSM matched dataset with pair integrity preserved), the analytic Cohort A comprised 2,776 women (1,396 vaccinated and 1,380 matched controls), accumulating approximately 7,421 vaccinated and 10,090 unvaccinated person-years measured from the 3-month landmark for the Any-of-five analysis (person-years varied slightly across individual outcomes owing to prevalent-case exclusions). Among these, 39 women experienced any of the five chronic conditions after the landmark (18 in vaccinated, incidence rate 2.43 per 1,000 person-years; 21 in unvaccinated, 2.08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yielding insufficient power for modelling. Among the individual conditions, the cause-specific hazard ratios were</w:t>
      </w:r>
      <w:r>
        <w:t xml:space="preserve"> </w:t>
      </w:r>
      <w:r>
        <w:rPr>
          <w:b/>
          <w:bCs/>
        </w:rPr>
        <w:t xml:space="preserve">1.47 for diabetes</w:t>
      </w:r>
      <w:r>
        <w:t xml:space="preserve"> </w:t>
      </w:r>
      <w:r>
        <w:t xml:space="preserve">(16 vs 17 events; incidence rates 2.14 vs 1.68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Angina/MI could not be obtained because no events occurred in one or both groups (</w:t>
      </w:r>
      <w:r>
        <w:rPr>
          <w:b/>
          <w:bCs/>
        </w:rPr>
        <w:t xml:space="preserve">Table 2</w:t>
      </w:r>
      <w:r>
        <w:t xml:space="preserve">). The pseudo-index sensitivity analysis (computed on the legacy ≥1-dose Cohort A for consistency with the published Sens-C framework) showed concordant Any-of-five hazard ratios across the random-sampling, calendar-year-matched, and risk-set sampling strategies (1.26, 1.27, and 1.21, respectively; Supplementary Table S7). The legacy ≥1-dose, no-landmark Cohort A (n = 4,102 / 4,106) yielded Any-of-five HR 1.26 (0.75–2.12), MCE 1.96 (0.31–12.44), diabetes 1.25 (0.68–2.28), and hypertension 1.49 (0.53–4.18) — these estimates closely tracked the v3 primary, confirming that the safety null inference is robust to the choice of exposure definition. Figure 2 displays the Aalen–Johansen cumulative incidence curves for the v3 primary cohort. No hazard ratio for any individual or composite endpoint reached statistical significance under either the v3 primary or the legacy specification.</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landmark-eligibility filter). For the lesion-recurrence co-primary, one additional matched set was removed because the vaccinated case had a recurrence event in the first 90 days post-index (and a small number of non-vaccinated controls similarly had early events removed), yielding a P1 analytic sample of</w:t>
      </w:r>
      <w:r>
        <w:t xml:space="preserve"> </w:t>
      </w:r>
      <w:r>
        <w:rPr>
          <w:b/>
          <w:bCs/>
        </w:rPr>
        <w:t xml:space="preserve">912 (203 vaccinated, 709 controls)</w:t>
      </w:r>
      <w:r>
        <w:t xml:space="preserve">. Within this analytic sample, 43 biopsy-confirmed lesion recurrences accrued (10 in vaccinated, incidence rate 8.83 per 1,000 person-years over 1,132 vaccinated person-years; 33 in unvaccinated,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the 3-month landmark (index + 90 days) to the first of two consecutive post-landmark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in the n = 912 P1 analytic sample)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2026-05-28T12:02:32Z</dcterms:created>
  <dcterms:modified xsi:type="dcterms:W3CDTF">2026-05-28T12:02:32Z</dcterms:modified>
</cp:coreProperties>
</file>

<file path=docProps/custom.xml><?xml version="1.0" encoding="utf-8"?>
<Properties xmlns="http://schemas.openxmlformats.org/officeDocument/2006/custom-properties" xmlns:vt="http://schemas.openxmlformats.org/officeDocument/2006/docPropsVTypes"/>
</file>