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 Computed on the legacy ≥1-dose, no-landmark Cohort B (n = 1,108: 241 vac / 867 ctl) because the v3 primary cohort (n = 934) leaves too few events for stable age × follow-up subgroup estimation. Reported as exploratory grid-search only; no inference is drawn (see Manuscript Limitations).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v3 primary cumulative-incidence curves, anchored at the 3-month landmark (index + 90 days); years 0, 2, 4, 6, 8, 10 measured from landmark. Lesion recurrence rows are the P1 analytic sample (n = 912: 203 / 709); hr-HPV clearance rows are the P2 analytic sample (n = 235: 92 / 143).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421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 Computed on the legacy ≥1-dose Cohort B (vaccine-type strata in the v3 cohort have too few events for stable estimation: n=128 Gardasil 9 / 77 Cervarix / 36 quadrivalent Gardasil under ≥1-dose collapses further under ≥2-dose).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18/1378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21/1371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2/1388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3/1378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16/1386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17/1373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 The ≥2-dose, 90-day landmark row coincides with the v3 PRIMARY specification (small numerical differences vs Table 3 reflect slightly different matched-set integrity application: this Sens-C variant requires both arms alive and event-free at the landmark whereas the v3 primary drops the entire matched set if the vaccinated case fails the landmark, then drops individual non-vaccinated patients with early events).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(post-landmark)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14/143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2.20 (1.03–4.68)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8/73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1.58 (0.71–3.52)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0.260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4/114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(0.29–6.07)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1/53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1.08 (0.09–13.45)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0.954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1.70 (1.13–2.56)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0.011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