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3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</w:t>
      </w:r>
      <w:r>
        <w:t>. Pre-matching baseline characteristics (same variable list as Table 1).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Block</w:t>
            </w:r>
          </w:p>
        </w:tc>
        <w:tc>
          <w:tcPr>
            <w:tcW w:type="dxa" w:w="273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협심증/심근경색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고혈압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당뇨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뇌출혈/뇌경색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폐색전증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협심증/심근경색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고혈압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당뇨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뇌출혈/뇌경색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폐색전증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원추절제술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자궁절제술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33.50945054887639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46.29954378798394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-1.1427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0.925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22.713194818822043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23.179357080524536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0.978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0.5949427480916031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0.850790668545483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115.9482738355262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118.71763892223488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-0.0066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0.5343511450381679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0.8364255519023015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72.21583521172055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73.7100720902914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-0.0005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0.5343511450381679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0.8365821199311101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-0.7906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0.3439885496183206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0.2882808830436825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0.0288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1.029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0.3172709923664122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0.19942852669484892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0.6398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0.2599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1.896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0.004770992366412214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0.0032096445905746046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0.4427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1.557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0.016698473282442748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0.006928135274776891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</w:tblGrid>
      <w:tr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n_vac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n_ctl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events_vac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events_ctl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HR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CI_lo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CI_hi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fu_label</w:t>
            </w:r>
          </w:p>
        </w:tc>
        <w:tc>
          <w:tcPr>
            <w:tcW w:type="dxa" w:w="831"/>
            <w:vAlign w:val="center"/>
          </w:tcPr>
          <w:p>
            <w:r/>
            <w:r>
              <w:rPr>
                <w:b/>
                <w:sz w:val="18"/>
              </w:rPr>
              <w:t>fu_yr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0.7799458126590407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0.3461400819796894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1.7574256850151955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0.5487663661958729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0.999315537303217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0.6179893292857371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0.2761510561716964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1.3829779121814507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0.24158288567709674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1.998631074606434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0.7204482153378647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0.37290071926103646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1.3919137297779627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0.32915435709348306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4.0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0.7951320996891915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0.4413552389976637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1.4324856716144907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0.4452914885163224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154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532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0.5729135060450037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0.12727304700302508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2.5789426209068202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0.46802389075540074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0.999315537303217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154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532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0.42899005094218795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0.09773020046691089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1.8830664720644876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0.2621294366480566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1.998631074606434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154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532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0.4776046837778925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0.1484588620639967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1.5364945601445477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0.21514994236712284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4.0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154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532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0.6896975980879194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0.2689719993628754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1.7685215484697803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0.4393726270393733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261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0.24839856405591565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0.03208245334595401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1.9232271908788476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0.18230782045533048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0.999315537303217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261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0.219926549044497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0.02861929485443028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1.6900376903288448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0.14550151811595516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1.998631074606434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261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0.54463701723195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0.178642190521133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1.6604671028383118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0.28535564376229916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4.0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261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0.4493753892886971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0.14538119034296695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1.3890259119627377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0.164756500697904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4.1095111483625395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0.9468983757911998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17.835157721550452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0.0591457609110177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0.999315537303217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2.604998234683373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0.6983027102633126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9.717871208239549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0.15405393334781667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1.998631074606434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2.6049982346833724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0.6983027102633134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9.717871208239535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0.15405393334781625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4.0</w:t>
            </w:r>
          </w:p>
        </w:tc>
      </w:tr>
      <w:tr>
        <w:tc>
          <w:tcPr>
            <w:tcW w:type="dxa" w:w="831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3.2282744177132603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0.9285067597239541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11.224210924603593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0.0652861003624983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31"/>
          </w:tcPr>
          <w:p>
            <w:r/>
            <w:r>
              <w:rPr>
                <w:sz w:val="18"/>
              </w:rPr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0.644344860383967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0.7245732412546203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1.7269574812467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0.4216925687020444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11.266341988017302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0.003577213999340967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Includes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108"/>
            <w:vAlign w:val="center"/>
          </w:tcPr>
          <w:p>
            <w:r/>
            <w:r>
              <w:rPr>
                <w:b/>
                <w:sz w:val="18"/>
              </w:rPr>
              <w:t>n_vac</w:t>
            </w:r>
          </w:p>
        </w:tc>
        <w:tc>
          <w:tcPr>
            <w:tcW w:type="dxa" w:w="1108"/>
            <w:vAlign w:val="center"/>
          </w:tcPr>
          <w:p>
            <w:r/>
            <w:r>
              <w:rPr>
                <w:b/>
                <w:sz w:val="18"/>
              </w:rPr>
              <w:t>n_ctl</w:t>
            </w:r>
          </w:p>
        </w:tc>
        <w:tc>
          <w:tcPr>
            <w:tcW w:type="dxa" w:w="1108"/>
            <w:vAlign w:val="center"/>
          </w:tcPr>
          <w:p>
            <w:r/>
            <w:r>
              <w:rPr>
                <w:b/>
                <w:sz w:val="18"/>
              </w:rPr>
              <w:t>events_vac</w:t>
            </w:r>
          </w:p>
        </w:tc>
        <w:tc>
          <w:tcPr>
            <w:tcW w:type="dxa" w:w="1108"/>
            <w:vAlign w:val="center"/>
          </w:tcPr>
          <w:p>
            <w:r/>
            <w:r>
              <w:rPr>
                <w:b/>
                <w:sz w:val="18"/>
              </w:rPr>
              <w:t>events_ctl</w:t>
            </w:r>
          </w:p>
        </w:tc>
        <w:tc>
          <w:tcPr>
            <w:tcW w:type="dxa" w:w="1108"/>
            <w:vAlign w:val="center"/>
          </w:tcPr>
          <w:p>
            <w:r/>
            <w:r>
              <w:rPr>
                <w:b/>
                <w:sz w:val="18"/>
              </w:rPr>
              <w:t>HR</w:t>
            </w:r>
          </w:p>
        </w:tc>
        <w:tc>
          <w:tcPr>
            <w:tcW w:type="dxa" w:w="1108"/>
            <w:vAlign w:val="center"/>
          </w:tcPr>
          <w:p>
            <w:r/>
            <w:r>
              <w:rPr>
                <w:b/>
                <w:sz w:val="18"/>
              </w:rPr>
              <w:t>CI_lo</w:t>
            </w:r>
          </w:p>
        </w:tc>
        <w:tc>
          <w:tcPr>
            <w:tcW w:type="dxa" w:w="1108"/>
            <w:vAlign w:val="center"/>
          </w:tcPr>
          <w:p>
            <w:r/>
            <w:r>
              <w:rPr>
                <w:b/>
                <w:sz w:val="18"/>
              </w:rPr>
              <w:t>CI_hi</w:t>
            </w:r>
          </w:p>
        </w:tc>
        <w:tc>
          <w:tcPr>
            <w:tcW w:type="dxa" w:w="1108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108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2030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2038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1.2634087430937353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0.7524727985773778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2.1212748887979274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0.3765153172109198</w:t>
            </w:r>
          </w:p>
        </w:tc>
      </w:tr>
      <w:tr>
        <w:tc>
          <w:tcPr>
            <w:tcW w:type="dxa" w:w="1108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2054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2064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1.2679826720956466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0.7477207266076723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2.1502413929718647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0.37827066206558346</w:t>
            </w:r>
          </w:p>
        </w:tc>
      </w:tr>
      <w:tr>
        <w:tc>
          <w:tcPr>
            <w:tcW w:type="dxa" w:w="1108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1096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1102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1.214375428659513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0.5545287163050543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2.6593892045091456</w:t>
            </w:r>
          </w:p>
        </w:tc>
        <w:tc>
          <w:tcPr>
            <w:tcW w:type="dxa" w:w="1108"/>
          </w:tcPr>
          <w:p>
            <w:r/>
            <w:r>
              <w:rPr>
                <w:sz w:val="18"/>
              </w:rPr>
              <w:t>0.6272164318222078</w:t>
            </w:r>
          </w:p>
        </w:tc>
      </w:tr>
    </w:tbl>
    <w:p>
      <w:r>
        <w:br w:type="page"/>
      </w:r>
    </w:p>
    <w:p>
      <w:r>
        <w:rPr>
          <w:b/>
        </w:rPr>
        <w:t>Supplementary Table S8</w:t>
      </w:r>
      <w:r>
        <w:t>. (Sens-C) Dose-threshold sensitivity for both cohorts — re-fitted hazard ratios under ≥1, ≥2, and ≥3 (complete schedule) dose definitions; matched-set integrity preserved.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149/241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546/867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135/217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489/783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0.93 (0.78–1.11)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0.428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121/193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429/697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0.94 (0.78–1.14)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0.558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149/241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546/867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0.272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117/193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485/772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0.87 (0.72–1.06)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0.166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(full follow-up)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12/110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0.73 (0.37–1.41)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10/155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3.19 (1.44–7.09)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4/78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0.77 (0.22–2.72)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0.684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24+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4/65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2/117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4.20 (0.73–24.14)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55/110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74/182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1.23 (0.89–1.72)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minimum disease-free interval)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≥3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39/846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0.88 (0.44–1.76)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≥6 months (S19)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8/235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33/837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0.86 (0.41–1.78)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6/228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26/805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0.82 (0.34–1.97)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0.657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