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Computed on the legacy ≥1-dose, no-landmark Cohort B (n = 1,108: 241 vac / 867 ctl) because the v3 primary cohort (n = 934) leaves too few events for stable age × follow-up subgroup estimation. Reported as exploratory grid-search only; no inference is drawn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v3 primary cumulative-incidence curves, anchored at the 3-month landmark (index + 90 days); years 0, 2, 4, 6, 8, 10 measured from landmark. Lesion recurrence rows are the P1 analytic sample (n = 912: 203 / 709); hr-HPV clearance rows are the P2 analytic sample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 Computed on the legacy ≥1-dose Cohort B (vaccine-type strata in the v3 cohort have too few events for stable estimation: n=128 Gardasil 9 / 77 Cervarix / 36 quadrivalent Gardasil under ≥1-dose collapses further under ≥2-dose).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