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post-landmark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reverse-Kaplan–Meier median follow-up of 5.93 years (interquartile range 2.78–10.75) in Cohort A and 4.97 years (3.44–8.91) in Cohort B (from index date).</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post-landmark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3-month landmark (index + 90 days) to the FIRST of two consecutive post-landmark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Cohort A, person-years were accumulated from the index date to the first event, death, or last follow-up. For Cohort B under the v3 primary, person-years were accumulated from the 3-month landmark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under the legacy primary, a pre-specified piecewise Cox model decomposed the v3 average hazard ratio into period-specific estimates for 0–6, 6–12, 12–24, and ≥24 months post-landmark, with at-risk left-truncation at each window’s lower bound and event ascertainment within the window.</w:t>
      </w:r>
      <w:r>
        <w:t xml:space="preserve"> </w:t>
      </w:r>
      <w:r>
        <w:rPr>
          <w:b/>
          <w:bCs/>
        </w:rPr>
        <w:t xml:space="preserve">(iii) Dose threshold and immortal-time landmark.</w:t>
      </w:r>
      <w:r>
        <w:t xml:space="preserve"> </w:t>
      </w:r>
      <w:r>
        <w:t xml:space="preserve">The v3 primary requires ≥2 distinct HPV-vaccine prescription dates with matched-set integrity preserved. As a sensitivity, the more permissive ≥1-dose, no-landmark definition (the legacy primary) and the more restrictive ≥3-dose, no-landmark definition were also fit; in both cases vaccinated cases failing the threshold and their attached non-vaccinated participants were dropped. To address residual immortal-time selection in dose-threshold contrasts,</w:t>
      </w:r>
      <w:r>
        <w:t xml:space="preserve">7</w:t>
      </w:r>
      <w:r>
        <w:t xml:space="preserve"> </w:t>
      </w:r>
      <w:r>
        <w:t xml:space="preserve">a landmark variant anchored at the standard HPV-vaccine 0–2–6 month schedule plus a 30 / 90 / 240-day grace period (for ≥1, ≥2, ≥3 dose thresholds respectively) was pre-specified; the ≥2-dose, 90-day landmark coincides with the v3 primary specification.</w:t>
      </w:r>
      <w:r>
        <w:t xml:space="preserve"> </w:t>
      </w:r>
      <w:r>
        <w:rPr>
          <w:b/>
          <w:bCs/>
        </w:rPr>
        <w:t xml:space="preserve">(iv) Strict matching.</w:t>
      </w:r>
      <w:r>
        <w:t xml:space="preserve"> </w:t>
      </w:r>
      <w:r>
        <w:t xml:space="preserve">Sens-D tests the robustness of the</w:t>
      </w:r>
      <w:r>
        <w:t xml:space="preserve"> </w:t>
      </w:r>
      <w:r>
        <w:rPr>
          <w:b/>
          <w:bCs/>
        </w:rPr>
        <w:t xml:space="preserve">matching structure</w:t>
      </w:r>
      <w:r>
        <w:t xml:space="preserve"> </w:t>
      </w:r>
      <w:r>
        <w:t xml:space="preserve">(variable-ratio vs strict 1:4 fine matching), independently of the v3 exposure-definition change. To isolate this question the analysis was run on the legacy ≥1-dose, no-landmark cohort (n = 241 vaccinated / 867 controls under variable-ratio; n = 193 / 772 under strict 1:4), where the variable-ratio (1:up-to-4) primary fine-matching procedure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and the small absolute event count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≥3, ≥6, or ≥12 months from the 3-month landmark (the v3 primary already removes events occurring in the first 90 days from index by construction).</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Follow-up time was reported throughout this manuscript using the</w:t>
      </w:r>
      <w:r>
        <w:t xml:space="preserve"> </w:t>
      </w:r>
      <w:r>
        <w:rPr>
          <w:b/>
          <w:bCs/>
        </w:rPr>
        <w:t xml:space="preserve">reverse Kaplan–Meier method</w:t>
      </w:r>
      <w:r>
        <w:t xml:space="preserve"> </w:t>
      </w:r>
      <w:r>
        <w:t xml:space="preserve">of Schemper and Smith,</w:t>
      </w:r>
      <w:r>
        <w:t xml:space="preserve">8</w:t>
      </w:r>
      <w:r>
        <w:t xml:space="preserve"> </w:t>
      </w:r>
      <w:r>
        <w:t xml:space="preserve">which estimates the median</w:t>
      </w:r>
      <w:r>
        <w:t xml:space="preserve"> </w:t>
      </w:r>
      <w:r>
        <w:rPr>
          <w:i/>
          <w:iCs/>
        </w:rPr>
        <w:t xml:space="preserve">potential</w:t>
      </w:r>
      <w:r>
        <w:t xml:space="preserve"> </w:t>
      </w:r>
      <w:r>
        <w:t xml:space="preserve">follow-up time by inverting the event indicator and applying the Kaplan–Meier estimator to the censoring distribution. This method is preferred to the naïve median of observed follow-up time because the naïve estimator is biased downward when outcome events truncate observation, particularly for outcomes that occur during the follow-up window (lesion recurrence, hr-HPV clearance, the chronic-disease composite). For symmetry between cohorts, the reverse-KM median is reported with its interquartile range as the principal summary of follow-up duration, while mean and observed range are presented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1,479 (4.5%) had received at least two distinct vaccine doses. Application of the two matching strategies yielded the final analytic cohorts: Cohort A comprised 4,102 women (2,051 vaccinated and 2,051 unvaccinated, propensity-score matched 1:1); Cohort B comprised 1,108 women (241 vaccinated and 867 finely matched controls, mean variable ratio 3.60:1, maximum 4:1) under the legacy ≥1-dose, no-landmark specification, which was then reduced to</w:t>
      </w:r>
      <w:r>
        <w:t xml:space="preserve"> </w:t>
      </w:r>
      <w:r>
        <w:rPr>
          <w:b/>
          <w:bCs/>
        </w:rPr>
        <w:t xml:space="preserve">934 women (204 vaccinated and 730 fine-matched controls) under the pre-specified ≥2-dose + 3-month landmark primary</w:t>
      </w:r>
      <w:r>
        <w:t xml:space="preserve"> </w:t>
      </w:r>
      <w:r>
        <w:t xml:space="preserve">with matched-set integrity preserved (36 vaccinated cases failing the dose threshold and their attached non-vaccinated participants were dropped; an additional 4 patients were lost to the 3-month landmark filter).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w:t>
      </w:r>
      <w:r>
        <w:t xml:space="preserve"> </w:t>
      </w:r>
      <w:r>
        <w:rPr>
          <w:b/>
          <w:bCs/>
        </w:rPr>
        <w:t xml:space="preserve">Reverse-Kaplan–Meier median follow-up</w:t>
      </w:r>
      <w:r>
        <w:t xml:space="preserve"> </w:t>
      </w:r>
      <w:r>
        <w:t xml:space="preserve">from the index date in the v3 primary cohort (n = 934) was 4.94 years (interquartile range 3.30–8.90) in vaccinated women and 5.02 years (3.48–8.93) in matched controls; the corresponding values from the landmark (index + 90 days) were 4.69 years (3.05–8.65) and 4.78 years (3.23–8.68). For the legacy ≥1-dose, no-landmark Cohort B (n = 1,108), the reverse-KM median was 4.97 years (3.36–8.84) in vaccinated and 5.26 years (3.52–9.32) in controls. Maximum observed follow-up was 15.09 years (vaccinated) and 15.73 years (controls). Naïve medians of observed follow-up — which are biased downward by event-truncated observation — were close to but slightly shorter than these reverse-KM estimates (4.87 vs 4.94 in vaccinated and 4.90 vs 5.02 in controls). In the pre-vaccine hr-HPV-positive subset that defines the analytic population for the clearance co-primary outcome under the v3 primary (</w:t>
      </w:r>
      <w:r>
        <w:rPr>
          <w:b/>
          <w:bCs/>
        </w:rPr>
        <w:t xml:space="preserve">n = 235: 92 vaccinated and 143 matched controls</w:t>
      </w:r>
      <w:r>
        <w:t xml:space="preserve"> </w:t>
      </w:r>
      <w:r>
        <w:t xml:space="preserve">after ≥2-dose + landmark filtering with matched-set integrity), balance was preserved. The legacy ≥1-dose clearance subset (n = 292: 110 vaccinated and 182 controls) is retained as a sensitivity comparator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reverse-Kaplan–Meier median follow-up of 4.68 years (interquartile range 1.95–9.92) in vaccinated and 6.99 years (3.73–11.21) in matched unvaccinated women (combined 5.93 y; 2.78–10.75), and accumulating approximately 12,324 vaccinated and 15,300 unvaccinated person-years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landmark-eligibility filter). For the lesion-recurrence co-primary, one additional matched set was removed because the vaccinated case had a recurrence event in the first 90 days post-index (and a small number of non-vaccinated controls similarly had early events removed), yielding a P1 analytic sample of</w:t>
      </w:r>
      <w:r>
        <w:t xml:space="preserve"> </w:t>
      </w:r>
      <w:r>
        <w:rPr>
          <w:b/>
          <w:bCs/>
        </w:rPr>
        <w:t xml:space="preserve">912 (203 vaccinated, 709 controls)</w:t>
      </w:r>
      <w:r>
        <w:t xml:space="preserve">. Within this analytic sample, 43 biopsy-confirmed lesion recurrences accrued (10 in vaccinated, incidence rate 8.83 per 1,000 person-years over 1,132 vaccinated person-years; 33 in unvaccinated,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the 3-month landmark (index + 90 days) to the first of two consecutive post-landmark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v3 primary (Sens-B) decomposed the 1.85 average hazard ratio into a significant 0–6-month post-landmark window (HR 2.20, 95% CI 1.03–4.68; p = 0.042) with non-significant point estimates in later windows, consistent with the timing of immune-memory recall in women who have already received ≥2 doses by the landmark.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 recomputed under the v3 primary cohort — were consistent with, and refined, the primary findings (</w:t>
      </w:r>
      <w:r>
        <w:rPr>
          <w:b/>
          <w:bCs/>
        </w:rPr>
        <w:t xml:space="preserve">Supplementary Figure S6</w:t>
      </w:r>
      <w:r>
        <w:t xml:space="preserve">, summary forest plot).</w:t>
      </w:r>
      <w:r>
        <w:t xml:space="preserve"> </w:t>
      </w:r>
      <w:r>
        <w:rPr>
          <w:b/>
          <w:bCs/>
        </w:rPr>
        <w:t xml:space="preserve">(i)</w:t>
      </w:r>
      <w:r>
        <w:t xml:space="preserve"> </w:t>
      </w:r>
      <w:r>
        <w:t xml:space="preserve">For the clearance co-primary, the more permissive single-negative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pre-specified piecewise time-stratified clearance model — fit because the Schoenfeld test indicated PH violation under the legacy primary — decomposed the average hazard ratio of 1.85 into a</w:t>
      </w:r>
      <w:r>
        <w:t xml:space="preserve"> </w:t>
      </w:r>
      <w:r>
        <w:rPr>
          <w:b/>
          <w:bCs/>
        </w:rPr>
        <w:t xml:space="preserve">2.20 (1.03–4.68, p = 0.042) signal in the 0–6-month window</w:t>
      </w:r>
      <w:r>
        <w:t xml:space="preserve"> </w:t>
      </w:r>
      <w:r>
        <w:t xml:space="preserve">post-landmark (19 vaccinated and 14 control events), a 1.58 (0.71–3.52) point estimate in 6–12 months, a 1.34 (0.30–6.07) point estimate in 12–24 months, and a 1.08 (0.09–13.45) estimate beyond 24 months. Under the v3 primary the dominant clearance signal therefore localises to the earliest 0–6-month post-landmark window — biologically consistent with the timing of immune-memory recall in women who have already received at least two doses at the time the landmark begins.</w:t>
      </w:r>
      <w:r>
        <w:t xml:space="preserve"> </w:t>
      </w:r>
      <w:r>
        <w:rPr>
          <w:b/>
          <w:bCs/>
        </w:rPr>
        <w:t xml:space="preserve">(iii)</w:t>
      </w:r>
      <w:r>
        <w:t xml:space="preserve"> </w:t>
      </w:r>
      <w:r>
        <w:t xml:space="preserve">Restricting the vaccinated arm to ≥2 and ≥3 (complete schedule) recorded doses with full matched-set preservation produced lesion-recurrence hazard ratios of 0.74 (0.39–1.39) and 0.61 (0.30–1.24), respectively, and hr-HPV clearance hazard ratios of 1.40 (0.90–2.17) and 1.59 (0.97–2.60) when computed without a landmark (Supplementary Table S8A; these are the original ≥1-dose-anchored</w:t>
      </w:r>
      <w:r>
        <w:t xml:space="preserve"> </w:t>
      </w:r>
      <w:r>
        <w:t xml:space="preserve">“dose-response”</w:t>
      </w:r>
      <w:r>
        <w:t xml:space="preserve"> </w:t>
      </w:r>
      <w:r>
        <w:t xml:space="preserve">estimates retained for comparison). Adding the 3-month landmark (Supplementary Table S8B) collapses the lesion-recurrence dose-response (HR 1.12, 95% CI 0.54–2.30 at the ≥2-dose, 90-day landmark — corresponding to the present v3 primary specification), while the hr-HPV clearance HR at the same landmark is 1.45 (0.95–2.21, p = 0.081) under the broader ≥1-dose ascertainment and 1.85 (1.09–3.17, p = 0.024) under the v3 primary.</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(in addition to the 90-day landmark already in the primary specification) yielded recurrence hazard ratios of 0.96, 0.92, and 0.97, respectively — all consistent with the primary 1.01 null estimate. Collectively, the five sensitivity analyses preserve the null inference for lesion recurrence and the significantly accelerated inference for clearance under the v3 primary, with the time-stratified analysis localising the clearance signal to the earliest 0–6-month post-landmark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in the n = 912 P1 analytic sample)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restricting the v3 analytic subset to 235 patients (n = 92 vaccinated and 143 controls after landmark filtering with matched-set integrity; 59 clearance events in total, 31 vaccinated and 28 control) and limiting power for further stratified inference, although the overall v3 clearance HR reached conventional significance (1.85, p = 0.024).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v3 post-surgical efficacy analysis was conducted with limited statistical power for lesion recurrence: only 10 recurrences accrued in the vaccinated arm and 33 in controls after the dose and landmark filters, so the analysis was sensitive to detect protective effects only of magnitude approximately HR ≤ 0.5 at 80% power; a modest true protective effect could plausibly remain undetected.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40"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9">
        <w:r>
          <w:rPr>
            <w:rStyle w:val="Hyperlink"/>
          </w:rPr>
          <w:t xml:space="preserve">10.1016/0197-2456(96)00075-X</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2026-05-28T11:13:22Z</dcterms:created>
  <dcterms:modified xsi:type="dcterms:W3CDTF">2026-05-28T11:13:22Z</dcterms:modified>
</cp:coreProperties>
</file>

<file path=docProps/custom.xml><?xml version="1.0" encoding="utf-8"?>
<Properties xmlns="http://schemas.openxmlformats.org/officeDocument/2006/custom-properties" xmlns:vt="http://schemas.openxmlformats.org/officeDocument/2006/docPropsVTypes"/>
</file>