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6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S1A</w:t>
      </w:r>
      <w:r>
        <w:t>. Pre-matching baseline characteristics — Cohort A (full source population, before 1:1 propensity-score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</w:tbl>
    <w:p>
      <w:r>
        <w:br w:type="page"/>
      </w:r>
    </w:p>
    <w:p>
      <w:r>
        <w:rPr>
          <w:b/>
        </w:rPr>
        <w:t>Supplementary Table S1B</w:t>
      </w:r>
      <w:r>
        <w:t>. Pre-matching baseline characteristics — Cohort B (post-surgical population, before 1:up-to-4 fine matching).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00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600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v3 primary cumulative-incidence curves, anchored at the 3-month landmark (index + 90 days); years 0, 2, 4, 6, 8, 10 measured from landmark. Lesion recurrence rows are the P1 analytic sample (n = 912: 203 / 709); hr-HPV clearance rows are the P2 analytic sample (n = 235: 92 / 143).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 (P1,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421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 (P2, v3)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10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Cohort B rows include both co-primary outcomes (lesion recurrence, hr-HPV clearance)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0.820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95.7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45.4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9.2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99.5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62.8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S8A</w:t>
      </w:r>
      <w:r>
        <w:t>. (Sens-C, primary) Dose-threshold sensitivity for both cohorts — re-fitted hazard ratios under ≥1, ≥2, and ≥3 (complete schedule) dose definitions; matched-set integrity preserved by dropping the entire matched set when the vaccinated case fails the threshold.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(legacy; v3 sensitivity)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37/102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44/168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(0.90–2.17)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0.132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33/89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36/148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1.59 (0.97–2.60)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S8B</w:t>
      </w:r>
      <w:r>
        <w:t>. (Sens-C, landmark) Immortal-time-bias-corrected dose-threshold sensitivity for Cohort B. Landmarks reflect the standard HPV-vaccine 0–2–6 month schedule plus grace: ≥1 dose at 30 days, ≥2 doses at 90 days, ≥3 doses at 240 days. Patients (both arms) must be alive and event-free at the landmark to enter the analysis; for vaccinated cases, the k-th dose must additionally have been received by the landmark. Time is left-truncated at the landmark.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/>
                <w:sz w:val="18"/>
              </w:rPr>
              <w:t>Definition (landmark)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10/238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48/858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0.331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10/205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30/723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1.12 (0.54–2.30)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6/182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18/639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1.14 (0.48–2.73)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0.769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≥1 dose, 30-d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39/109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45/179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1.45 (0.95–2.21)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≥2 doses, 90-d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32/91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28/141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1.93 (1.14–3.26)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≥3 doses, 240-d landmark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11/64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12/113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1.61 (0.73–3.56)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0.238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31/89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40/158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1.40 (0.88–2.21)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0.154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(post-landmark)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14/143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2.20 (1.03–4.68)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8/73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8/128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1.58 (0.71–3.52)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0.260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3/62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4/114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1.34 (0.29–6.07)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0.706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≥24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1/53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1.08 (0.09–13.45)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0.954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31/92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28/143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(sensitivity, v3)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42/91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42/139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1.70 (1.13–2.56)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0.011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DFI buffer; landmark 90 d only)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10/203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33/709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≥3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8/201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28/694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0.96 (0.46–2.02)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0.913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≥6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7/198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26/686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0.92 (0.41–2.06)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0.833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DFI ≥12 months from landmark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6/192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21/651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0.97 (0.40–2.38)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0.952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