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ef8179927940eb9f0e4ce06d0d0dc20708cb031"/>
    <w:p>
      <w:pPr>
        <w:pStyle w:val="Heading1"/>
      </w:pPr>
      <w:r>
        <w:t xml:space="preserve">Long-term safety and post-surgical efficacy of HPV vaccination in women with cervical intraepithelial lesions: a prospective–retrospective cohort study using Korean clinical data warehouse</w:t>
      </w:r>
    </w:p>
    <w:bookmarkStart w:id="20" w:name="abstract"/>
    <w:p>
      <w:pPr>
        <w:pStyle w:val="Heading2"/>
      </w:pPr>
      <w:r>
        <w:t xml:space="preserve">Abstract</w:t>
      </w:r>
    </w:p>
    <w:p>
      <w:pPr>
        <w:pStyle w:val="FirstParagraph"/>
      </w:pPr>
      <w:r>
        <w:t xml:space="preserve">Whether human papillomavirus (HPV) vaccination is safe long-term and whether it prevents recurrence after cervical surgery remain uncertain. From a single-institution Korean HPV cohort (N = 32,969) with clinical-data-warehouse extraction through 2025, we derived two analytic cohorts. Both cohorts share a pre-specified primary exposure of</w:t>
      </w:r>
      <w:r>
        <w:t xml:space="preserve"> </w:t>
      </w:r>
      <w:r>
        <w:rPr>
          <w:b/>
          <w:bCs/>
        </w:rPr>
        <w:t xml:space="preserve">at least two documented HPV-vaccine prescription dates with a symmetric 3-month landmark</w:t>
      </w:r>
      <w:r>
        <w:t xml:space="preserve"> </w:t>
      </w:r>
      <w:r>
        <w:t xml:space="preserve">applied across arms to mitigate immortal-time selection. Cohort A (chronic-disease safety) was built from a 1:1 propensity-score matched dataset (2,053 / 2,053) and then filtered to the v3 primary, yielding</w:t>
      </w:r>
      <w:r>
        <w:t xml:space="preserve"> </w:t>
      </w:r>
      <w:r>
        <w:rPr>
          <w:b/>
          <w:bCs/>
        </w:rPr>
        <w:t xml:space="preserve">n = 2,776 (1,396 vaccinated, 1,380 matched controls)</w:t>
      </w:r>
      <w:r>
        <w:t xml:space="preserve">. Cohort B (post-surgical efficacy) was matched separately (variable-ratio 1:up-to-4) and filtered to the v3 primary at</w:t>
      </w:r>
      <w:r>
        <w:t xml:space="preserve"> </w:t>
      </w:r>
      <w:r>
        <w:rPr>
          <w:b/>
          <w:bCs/>
        </w:rPr>
        <w:t xml:space="preserve">n = 934 (204 vaccinated, 730 fine-matched controls)</w:t>
      </w:r>
      <w:r>
        <w:t xml:space="preserve">. All post-matching standardised mean differences were below 0.10. In Cohort A under the v3 primary, vaccination was not associated with chronic-disease incidence (Any-of-five hazard ratio 1.28, 95% confidence interval 0.66–2.48; 18 vaccinated and 21 unvaccinated events over 7,421 and 10,090 person-years; cause-specific Cox with cluster-robust standard errors on the PSM pair identifier). Legacy ≥1-dose, no-landmark Cohort A estimates (Any-of-five HR 1.26, 0.75–2.12) are retained as Sens-C for backward comparability. In Cohort B the two co-primary outcomes were biopsy-confirmed lesion recurrence (≥CIN2) and hr-HPV clearance, defined as the first of two consecutive post-landmark hr-HPV-negative molecular pathology tests, among women with documented pre-vaccine high-risk HPV positivity. Under the ≥2-dose + 3-month landmark primary definition, post-surgical vaccination was</w:t>
      </w:r>
      <w:r>
        <w:t xml:space="preserve"> </w:t>
      </w:r>
      <w:r>
        <w:rPr>
          <w:b/>
          <w:bCs/>
        </w:rPr>
        <w:t xml:space="preserve">not</w:t>
      </w:r>
      <w:r>
        <w:t xml:space="preserve"> </w:t>
      </w:r>
      <w:r>
        <w:t xml:space="preserve">associated with reduced lesion recurrence (hazard ratio 1.01, 95% CI 0.49–2.06; p = 0.99); the directional protective signal observed under the more permissive ≥1-dose, no-landmark exposure definition (hazard ratio 0.80, 95% CI 0.44–1.43; p = 0.45) collapsed once the dose-threshold and landmark filters were applied, indicating that part of that signal was attributable to immortal-time selection. For the clearance co-primary, vaccination was associated with significantly accelerated clearance of pre-existing hr-HPV (hazard ratio 1.85, 95% CI 1.09–3.17; p = 0.024), where a hazard ratio greater than 1 indicates faster clearance in the vaccinated arm. Among women who achieved clearance, the Kaplan–Meier-estimated median sustained-clearance (reversion-free) time was 10.79 years in vaccinated women (n = 31) and 5.67 years in unvaccinated controls (n = 28; log-rank p = 0.317), but at a clinically interpretable 5-year horizon the reversion-free probability was nearly identical (56.9% vs 53.3%), indicating that the apparent median difference is dominated by late-follow-up plateaus and small reversion counts rather than by an early reversion-risk difference between arms. HPV vaccination did not increase chronic-disease risk over a reverse-Kaplan–Meier median follow-up of 5.93 years (interquartile range 2.78–10.75) in Cohort A and 4.97 years (3.44–8.91) in Cohort B (from index date).</w:t>
      </w:r>
    </w:p>
    <w:p>
      <w:pPr>
        <w:pStyle w:val="BodyText"/>
      </w:pPr>
      <w:r>
        <w:rPr>
          <w:b/>
          <w:bCs/>
        </w:rPr>
        <w:t xml:space="preserve">Keywords</w:t>
      </w:r>
      <w:r>
        <w:t xml:space="preserve">: human papillomavirus vaccine, cervical intraepithelial neoplasia, conization, propensity score matching, competing risks, real-world evidence, cohort study</w:t>
      </w:r>
    </w:p>
    <w:p>
      <w:r>
        <w:pict>
          <v:rect style="width:0;height:1.5pt" o:hralign="center" o:hrstd="t" o:hr="t"/>
        </w:pict>
      </w:r>
    </w:p>
    <w:bookmarkEnd w:id="20"/>
    <w:bookmarkStart w:id="27" w:name="methods"/>
    <w:p>
      <w:pPr>
        <w:pStyle w:val="Heading2"/>
      </w:pPr>
      <w:r>
        <w:t xml:space="preserve">Methods</w:t>
      </w:r>
    </w:p>
    <w:bookmarkStart w:id="21" w:name="study-design-and-data-source"/>
    <w:p>
      <w:pPr>
        <w:pStyle w:val="Heading3"/>
      </w:pPr>
      <w:r>
        <w:t xml:space="preserve">Study design and data source</w:t>
      </w:r>
    </w:p>
    <w:p>
      <w:pPr>
        <w:pStyle w:val="FirstParagraph"/>
      </w:pPr>
      <w:r>
        <w:t xml:space="preserve">This is a single-centre observational cohort study that augments a prospectively maintained Korean HPV cervical-screening cohort with retrospective extraction from the institution’s clinical data warehouse (CDW). Women were enrolled at the time of an index cervical evaluation between 2009 and 2024 and followed prospectively for cytology, histology, and HPV testing. Beginning in 2024, the CDW was queried to retrieve all linked diagnostic codes, surgical and pharmacy records, vital signs, anthropometric measurements, and laboratory values up to 31 December 2025, providing long-term outcome ascertainment beyond the original prospective protocol. Reporting follows the Strengthening the Reporting of Observational Studies in Epidemiology (STROBE) checklist for cohort studies.</w:t>
      </w:r>
      <w:r>
        <w:t xml:space="preserve">1</w:t>
      </w:r>
      <w:r>
        <w:t xml:space="preserve"> </w:t>
      </w:r>
      <w:r>
        <w:t xml:space="preserve">The institutional review board approved the protocol with a waiver of informed consent for the retrospective component (IRB number to be inserted).</w:t>
      </w:r>
    </w:p>
    <w:bookmarkEnd w:id="21"/>
    <w:bookmarkStart w:id="22" w:name="source-population"/>
    <w:p>
      <w:pPr>
        <w:pStyle w:val="Heading3"/>
      </w:pPr>
      <w:r>
        <w:t xml:space="preserve">Source population</w:t>
      </w:r>
    </w:p>
    <w:p>
      <w:pPr>
        <w:pStyle w:val="FirstParagraph"/>
      </w:pPr>
      <w:r>
        <w:t xml:space="preserve">The source cohort comprised 32,969 women with at least one cervical-related diagnostic, laboratory, or procedural record. Vital status, last follow-up date, residence, and demographic characteristics were available for all individuals. Five clinically relevant chronic conditions—angina pectoris and myocardial infarction (hereafter Angina/MI; International Classification of Diseases, 10th Revision [ICD-10] I20–I25), hypertension (I10–I15), diabetes mellitus (E11–E14), cerebrovascular events including ischaemic and haemorrhagic stroke (I60–I69), and pulmonary embolism (I26)—had been pre-classified by the data custodians using a curated diagnosis-label scheme; this categorisation was used in subsequent analyses without modification.</w:t>
      </w:r>
    </w:p>
    <w:bookmarkEnd w:id="22"/>
    <w:bookmarkStart w:id="23" w:name="exposure-ascertainment"/>
    <w:p>
      <w:pPr>
        <w:pStyle w:val="Heading3"/>
      </w:pPr>
      <w:r>
        <w:t xml:space="preserve">Exposure ascertainment</w:t>
      </w:r>
    </w:p>
    <w:p>
      <w:pPr>
        <w:pStyle w:val="FirstParagraph"/>
      </w:pPr>
      <w:r>
        <w:t xml:space="preserve">HPV vaccination status was determined from the prescription file using two parallel definitions: a keyword search for the brand names</w:t>
      </w:r>
      <w:r>
        <w:t xml:space="preserve"> </w:t>
      </w:r>
      <w:r>
        <w:t xml:space="preserve">“Gardasil”</w:t>
      </w:r>
      <w:r>
        <w:t xml:space="preserve">,</w:t>
      </w:r>
      <w:r>
        <w:t xml:space="preserve"> </w:t>
      </w:r>
      <w:r>
        <w:t xml:space="preserve">“Gardasil 9”</w:t>
      </w:r>
      <w:r>
        <w:t xml:space="preserve">, and</w:t>
      </w:r>
      <w:r>
        <w:t xml:space="preserve"> </w:t>
      </w:r>
      <w:r>
        <w:t xml:space="preserve">“Cervarix”</w:t>
      </w:r>
      <w:r>
        <w:t xml:space="preserve"> </w:t>
      </w:r>
      <w:r>
        <w:t xml:space="preserve">(with the corresponding Korean transliterations 가다실 and 서바릭스), and an independent search on the institution-specific drug-code prefixes (</w:t>
      </w:r>
      <w:r>
        <w:rPr>
          <w:rStyle w:val="VerbatimChar"/>
        </w:rPr>
        <w:t xml:space="preserve">DV-JHP</w:t>
      </w:r>
      <w:r>
        <w:t xml:space="preserve"> </w:t>
      </w:r>
      <w:r>
        <w:t xml:space="preserve">for Cervarix,</w:t>
      </w:r>
      <w:r>
        <w:t xml:space="preserve"> </w:t>
      </w:r>
      <w:r>
        <w:rPr>
          <w:rStyle w:val="VerbatimChar"/>
        </w:rPr>
        <w:t xml:space="preserve">DV-HPF</w:t>
      </w:r>
      <w:r>
        <w:t xml:space="preserve"> </w:t>
      </w:r>
      <w:r>
        <w:t xml:space="preserve">for the quadrivalent Gardasil,</w:t>
      </w:r>
      <w:r>
        <w:t xml:space="preserve"> </w:t>
      </w:r>
      <w:r>
        <w:rPr>
          <w:rStyle w:val="VerbatimChar"/>
        </w:rPr>
        <w:t xml:space="preserve">DV-9HPF</w:t>
      </w:r>
      <w:r>
        <w:t xml:space="preserve"> </w:t>
      </w:r>
      <w:r>
        <w:t xml:space="preserve">for Gardasil 9), which together covered six distinct codes including variants for free-of-charge and employee/family vaccination. The two definitions identified an identical set of 2,156 women (concordance 100%), supporting a robust exposure ascertainment. Among the 32,969 women in the source population, these 2,156 (6.5%) had received at least one HPV-vaccine dispensation; attributing each woman by her first-dose product, 42.2% (n = 909) received the nine-valent vaccine (Gardasil 9), 40.4% (n = 870) the bivalent vaccine (Cervarix), and 17.5% (n = 377) the quadrivalent vaccine (Gardasil). A total of 5,514 vaccine doses were recorded, with a median of 3 doses per vaccinated woman (interquartile range 2–3, range 1–6); 80% completed the standard three-dose schedule. Thirty-three women (1.5%) received doses of more than one product (Gardasil 9 + quadrivalent Gardasil n = 21, Gardasil 9 + Cervarix n = 10, quadrivalent Gardasil + Cervarix n = 2); for the vaccine-type subgroup analysis these women were attributed by their first dose. The date of the first dispensation was used as the exposure index date. Women with no vaccine record at any time were classified as unvaccinated.</w:t>
      </w:r>
    </w:p>
    <w:bookmarkEnd w:id="23"/>
    <w:bookmarkStart w:id="24" w:name="two-analytic-cohorts"/>
    <w:p>
      <w:pPr>
        <w:pStyle w:val="Heading3"/>
      </w:pPr>
      <w:r>
        <w:t xml:space="preserve">Two analytic cohorts</w:t>
      </w:r>
    </w:p>
    <w:p>
      <w:pPr>
        <w:pStyle w:val="FirstParagraph"/>
      </w:pPr>
      <w:r>
        <w:t xml:space="preserve">To address two complementary research questions, two analytic cohorts were derived from the same source population by applying distinct eligibility and matching procedures.</w:t>
      </w:r>
    </w:p>
    <w:p>
      <w:pPr>
        <w:pStyle w:val="BodyText"/>
      </w:pPr>
      <w:r>
        <w:rPr>
          <w:b/>
          <w:bCs/>
        </w:rPr>
        <w:t xml:space="preserve">Cohort A</w:t>
      </w:r>
      <w:r>
        <w:t xml:space="preserve"> </w:t>
      </w:r>
      <w:r>
        <w:t xml:space="preserve">addressed the long-term safety question—whether HPV vaccination is associated with the incidence of major chronic conditions during follow-up—and was constructed from the entire source population. Eligibility required available date of birth, survival until the index date, and at least one day of follow-up thereafter. For unvaccinated women, who do not have an intrinsic exposure date, a pseudo index date was assigned by random sampling from the empirical distribution of first-vaccination dates among vaccinated women, so that all time-anchored covariates and outcomes could be evaluated on a comparable temporal frame. Propensity scores for receipt of vaccination were estimated by logistic regression on age at index, body-mass index, systolic and diastolic blood pressure (with mean imputation and missing-value indicators for each), smoking status (never, former, current, or unknown, with unknown as the reference category), and residence in Seoul. One-to-one nearest-neighbour matching on the logit of the propensity score was performed without replacement using a caliper of 0.2 times the standard deviation of the logit, in accordance with the recommendation of Austin.</w:t>
      </w:r>
      <w:r>
        <w:t xml:space="preserve">2</w:t>
      </w:r>
      <w:r>
        <w:t xml:space="preserve"> </w:t>
      </w:r>
      <w:r>
        <w:t xml:space="preserve">The final matched Cohort A comprised 2,051 vaccinated and 2,051 unvaccinated women.</w:t>
      </w:r>
    </w:p>
    <w:p>
      <w:pPr>
        <w:pStyle w:val="BodyText"/>
      </w:pPr>
      <w:r>
        <w:rPr>
          <w:b/>
          <w:bCs/>
        </w:rPr>
        <w:t xml:space="preserve">Cohort B</w:t>
      </w:r>
      <w:r>
        <w:t xml:space="preserve"> </w:t>
      </w:r>
      <w:r>
        <w:t xml:space="preserve">addressed the post-surgical efficacy question and was restricted to the 6,890 women who had undergone cervical conization or hysterectomy for histologically confirmed HSIL/CIN3 or higher disease. Vaccinated and unvaccinated women were matched in two steps using a variable-ratio (greedy, without-replacement) algorithm. An initial 1:up-to-5 match required exact agreement on surgical procedure (conization or hysterectomy), and on calendar year of surgery within ±1 year and age at surgery within ±5 years; up to five unvaccinated controls were drawn for each vaccinated case from the eligible pool, with controls ordered by combined age- and year-distance and selected without replacement. The maximum ratio of five was reached for 256 of 411 vaccinated cases (62%); the remaining 155 cases received fewer controls (range 0–4) because their surgery-method × surgery-year × age cell contained too few unvaccinated comparators or because earlier matches had exhausted the available pool, yielding a mean ratio of 4.42 controls per case (411 vaccinated and 1,815 unvaccinated). Index dates were then assigned: the first vaccination date for vaccinated women, and the surgery date plus the matched vaccinated woman’s surgery-to-vaccination interval for unvaccinated controls (the pseudo index date, preserving the immortal-time correspondence between groups). Eligibility required an index date on or before 31 December 2020 to ensure at least five years of potential follow-up, and at least two follow-up records. After this filter, a fine 1:up-to-4 match further balanced the groups on age at index (±5 years), body-mass index nearest the index date (±3 kg/m²), and surgery year (±1 year), with candidates ranked by a normalized composite distance and selected without replacement. The maximum ratio of four was reached for 193 of 241 vaccinated cases (80%); the remaining 48 cases received one to three controls, yielding a mean ratio of 3.60. The intermediate legacy Cohort B at this stage comprised 241 vaccinated and 867 unvaccinated women (n = 1,108). The pre-specified</w:t>
      </w:r>
      <w:r>
        <w:t xml:space="preserve"> </w:t>
      </w:r>
      <w:r>
        <w:rPr>
          <w:b/>
          <w:bCs/>
        </w:rPr>
        <w:t xml:space="preserve">v3 primary</w:t>
      </w:r>
      <w:r>
        <w:t xml:space="preserve"> </w:t>
      </w:r>
      <w:r>
        <w:t xml:space="preserve">exposure definition was then applied: vaccinated cases failing the ≥2-dose threshold (36 cases) had their full matched set removed, and any patient (either arm) failing the 3-month landmark follow-up filter (5 patients) was excluded — yielding the</w:t>
      </w:r>
      <w:r>
        <w:t xml:space="preserve"> </w:t>
      </w:r>
      <w:r>
        <w:rPr>
          <w:b/>
          <w:bCs/>
        </w:rPr>
        <w:t xml:space="preserve">v3 primary Cohort B of n = 934 (204 vaccinated, 730 fine-matched controls)</w:t>
      </w:r>
      <w:r>
        <w:t xml:space="preserve">, which is the analytic population for all Cohort B primary inferences.</w:t>
      </w:r>
    </w:p>
    <w:bookmarkEnd w:id="24"/>
    <w:bookmarkStart w:id="25" w:name="outcome-definitions"/>
    <w:p>
      <w:pPr>
        <w:pStyle w:val="Heading3"/>
      </w:pPr>
      <w:r>
        <w:t xml:space="preserve">Outcome definitions</w:t>
      </w:r>
    </w:p>
    <w:p>
      <w:pPr>
        <w:pStyle w:val="FirstParagraph"/>
      </w:pPr>
      <w:r>
        <w:t xml:space="preserve">In Cohort A, the primary outcomes were the first incident occurrence after the index date of each of the five pre-specified chronic conditions, treated separately. We additionally pre-specified two composite endpoints to improve statistical power and to reflect mechanistically related events. Major Cardiovascular Events (MCE) was defined as the first occurrence of myocardial infarction, stroke, or pulmonary embolism—a broader composite than standard major adverse cardiovascular events (MACE) because pulmonary embolism, although venous in origin, shares a thromboembolic mechanism with the included arterial events. The</w:t>
      </w:r>
      <w:r>
        <w:t xml:space="preserve"> </w:t>
      </w:r>
      <w:r>
        <w:t xml:space="preserve">“Any-of-five”</w:t>
      </w:r>
      <w:r>
        <w:t xml:space="preserve"> </w:t>
      </w:r>
      <w:r>
        <w:t xml:space="preserve">endpoint was defined as the first occurrence of any of the five conditions and was intended as the most inclusive global indicator of chronic-disease incidence. For each outcome, women with prevalent disease (a diagnosis on or before the index date) were excluded from that specific analysis to define an at-risk population. Death prior to the outcome of interest was treated as a competing event.</w:t>
      </w:r>
    </w:p>
    <w:p>
      <w:pPr>
        <w:pStyle w:val="BodyText"/>
      </w:pPr>
      <w:r>
        <w:t xml:space="preserve">In Cohort B, two co-primary outcomes were specified. The first was biopsy-confirmed high-grade cervical lesion recurrence, defined as the appearance on a post-landmark tissue-pathology record of any of the following: cervical intraepithelial neoplasia grade 2 or higher (CIN2, CIN3, or carcinoma in situ; equivalently a high-grade squamous intraepithelial lesion under the 2014 LAST nomenclature) or invasive cervical cancer. We adopted CIN2 or worse rather than CIN3 or worse because contemporary post-surgical HPV-vaccine meta-analyses (Lichter et al. 2020, Petráš et al. 2023) and randomized post-treatment trials use CIN2+ as the standard outcome, and because the Korean cytology reporting system frequently issues</w:t>
      </w:r>
      <w:r>
        <w:t xml:space="preserve"> </w:t>
      </w:r>
      <w:r>
        <w:t xml:space="preserve">“HSIL”</w:t>
      </w:r>
      <w:r>
        <w:t xml:space="preserve"> </w:t>
      </w:r>
      <w:r>
        <w:t xml:space="preserve">without further sub-grading. The second was hr-HPV clearance / regression, defined among the subset of women who were hr-HPV-positive at any point before the index date (the pre-vaccine baseline) as the time from the 3-month landmark (index + 90 days) to the FIRST of two consecutive post-landmark molecular pathology records explicitly negative for hr-HPV. The two-consecutive-negative requirement follows standard epidemiological convention (Bouvard 2009, Insinga 2010), recognising that a single negative test may reflect imperfect assay sensitivity or transient viral-load fluctuation rather than true biological clearance; an alternative single-negative definition is reported as a sensitivity analysis. The 14 high-risk HPV types considered for both baseline status and outcome ascertainment were 16, 18, 31, 33, 35, 39, 45, 51, 52, 56, 58, 59, 66, and 68. We adopted clearance as a co-primary endpoint because every Cohort B woman had been HPV-positive at the time of the qualifying surgery, so the clinically and biologically relevant question is whether post-surgical vaccination accelerates clearance of pre-existing high-risk infection rather than whether it prevents the detection of viral DNA whose persistence is itself the principal source of any post-index positivity. Anchoring the baseline at the date of vaccination (or the equivalent pseudo-index for unvaccinated controls, which is the surgery date plus the matched vaccinated woman’s surgery-to-vaccination interval) rather than at the surgery date ensured that the temporal frame of the outcome aligned with the temporal frame of exposure. For the clearance outcome a hazard ratio greater than 1 indicates faster clearance in the vaccinated arm and is the favourable direction. Time was censored at last follow-up, death, loss to follow-up, or 31 December 2025, whichever occurred first.</w:t>
      </w:r>
    </w:p>
    <w:bookmarkEnd w:id="25"/>
    <w:bookmarkStart w:id="26" w:name="statistical-analysis"/>
    <w:p>
      <w:pPr>
        <w:pStyle w:val="Heading3"/>
      </w:pPr>
      <w:r>
        <w:t xml:space="preserve">Statistical analysis</w:t>
      </w:r>
    </w:p>
    <w:p>
      <w:pPr>
        <w:pStyle w:val="FirstParagraph"/>
      </w:pPr>
      <w:r>
        <w:t xml:space="preserve">Continuous variables were summarised as mean ± standard deviation and compared with Welch’s t-test; categorical variables were summarised as counts and percentages and compared with Fisher’s exact test. Covariate balance after matching was assessed using the absolute standardised mean difference (|SMD|), with values below 0.10 considered indicative of adequate balance.</w:t>
      </w:r>
    </w:p>
    <w:p>
      <w:pPr>
        <w:pStyle w:val="BodyText"/>
      </w:pPr>
      <w:r>
        <w:t xml:space="preserve">For Cohort A, cumulative incidence functions were estimated non-parametrically with the Aalen–Johansen estimator, which yields consistent estimates in the presence of competing events. Cause-specific hazard ratios were obtained by Cox proportional-hazards regression treating the competing event of death as right censoring, with cluster-robust standard errors using the matched pair as the cluster variable to reflect the dependence induced by 1:1 matching. Subdistribution hazard ratios were obtained from the Fine–Gray model implemented as time-varying Cox regression on a Geskus-reweighted dataset,</w:t>
      </w:r>
      <w:r>
        <w:t xml:space="preserve">3</w:t>
      </w:r>
      <w:r>
        <w:t xml:space="preserve"> </w:t>
      </w:r>
      <w:r>
        <w:t xml:space="preserve">in which subjects experiencing the competing event are retained in the risk set with inverse-probability-of-censoring weights derived from the Kaplan–Meier estimate of the censoring distribution. Outcomes with fewer than five events in either group were reported descriptively and not modelled. For Cohort B, the cumulative incidence of each outcome was estimated as the complement of the Kaplan–Meier survival function (1 − S(t)), and Cox proportional-hazards models adjusted for age at index were used to estimate hazard ratios with 95% confidence intervals, with cluster-robust standard errors using the fine-matching identifier as the cluster variable; deaths during follow-up were rare in this young post-surgical population, so 1 − S(t) approximates the Aalen–Johansen cause-specific cumulative incidence to within rounding error. The proportional-hazards assumption was assessed for all primary models by the Schoenfeld residual rank test and inspected graphically by scaled-Schoenfeld plots; results are reported in Supplementary Table S6 and Supplementary Figures S5–S6. For Cohort A, person-years were accumulated from the index date to the first event, death, or last follow-up. For Cohort B under the v3 primary, person-years were accumulated from the 3-month landmark (index + 90 days) to the first event, death, or last follow-up; incidence rates per 1,000 person-years are reported alongside hazard ratios.</w:t>
      </w:r>
    </w:p>
    <w:p>
      <w:pPr>
        <w:pStyle w:val="BodyText"/>
      </w:pPr>
      <w:r>
        <w:t xml:space="preserve">In line with the prevailing convention in observational epidemiology, no formal multiple-comparison adjustment (e.g., Bonferroni or false-discovery-rate procedure) was applied to the two Cohort B co-primary outcomes. Lesion recurrence and hr-HPV clearance address distinct biological questions—post-surgical regrowth of high-grade cervical neoplasia versus persistence or clearance of the pre-vaccine high-risk infection that drives it—and were therefore treated as separate, pre-specified hypotheses rather than members of a single confirmatory family, consistent with the long-standing argument that family-wise error rate control is rarely informative for hypothesis-driven epidemiology</w:t>
      </w:r>
      <w:r>
        <w:t xml:space="preserve">4</w:t>
      </w:r>
      <w:r>
        <w:t xml:space="preserve"> </w:t>
      </w:r>
      <w:r>
        <w:t xml:space="preserve">and with the absence of a multiplicity item in the STROBE reporting guideline. We report nominal p values throughout and explicitly disclose the number of primary tests so that readers may apply their preferred adjustment if desired. Heterogeneity of vaccine effect across vaccine types was tested in Cohort B by fitting a single Cox model with main effects for vaccination, vaccine-type indicators (Gardasil 9 as reference), age at index, and vaccine-type × vaccination interaction terms, and comparing this against a reduced model without the interaction terms by likelihood-ratio test (LRT). This single-model formulation avoids the dependence among non-vaccinated controls that would otherwise be reused across pairwise vaccine-specific subgroups. Subgroup analyses by age band with 2-year landmark censoring are explicitly reported as exploratory and hypothesis-generating.</w:t>
      </w:r>
    </w:p>
    <w:p>
      <w:pPr>
        <w:pStyle w:val="BodyText"/>
      </w:pPr>
      <w:r>
        <w:t xml:space="preserve">To assess robustness of the Cohort A pseudo-index assignment, a sensitivity analysis compared three strategies for assigning an index date to non-vaccinated controls: (i) random sampling from the empirical distribution of vaccinated patients’ first-vaccination dates (primary); (ii) calendar-year-matched random sampling, restricting the donor pool to vaccinated patients whose vaccine year preceded the control’s last-follow-up year; and (iii) risk-set sampling, which assigns each vaccinated patient’s actual vaccination date to a control alive and observable on that date. The note</w:t>
      </w:r>
      <w:r>
        <w:t xml:space="preserve"> </w:t>
      </w:r>
      <w:r>
        <w:t xml:space="preserve">“as-treated”</w:t>
      </w:r>
      <w:r>
        <w:t xml:space="preserve"> </w:t>
      </w:r>
      <w:r>
        <w:t xml:space="preserve">is avoided because the analysis is, by design, anchored to the date of first vaccine receipt; results from a true intention-to-treat formulation are not pertinent in this single-arm exposure-ascertained setting.</w:t>
      </w:r>
    </w:p>
    <w:p>
      <w:pPr>
        <w:pStyle w:val="BodyText"/>
      </w:pPr>
      <w:r>
        <w:rPr>
          <w:b/>
          <w:bCs/>
        </w:rPr>
        <w:t xml:space="preserve">Both Cohort A and Cohort B share a single v3 primary exposure definition</w:t>
      </w:r>
      <w:r>
        <w:t xml:space="preserve"> </w:t>
      </w:r>
      <w:r>
        <w:t xml:space="preserve">for methodological consistency: at least two documented HPV-vaccine prescription dates plus a</w:t>
      </w:r>
      <w:r>
        <w:t xml:space="preserve"> </w:t>
      </w:r>
      <w:r>
        <w:rPr>
          <w:b/>
          <w:bCs/>
        </w:rPr>
        <w:t xml:space="preserve">symmetric 3-month landmark</w:t>
      </w:r>
      <w:r>
        <w:t xml:space="preserve"> </w:t>
      </w:r>
      <w:r>
        <w:t xml:space="preserve">across arms. The at-risk clock was shifted to index + 90 days for both vaccinated and unvaccinated participants, and patients with &lt;90 days of follow-up or with an outcome event in the first 90 days were excluded. Vaccinated cases failing the ≥2-dose threshold or the landmark eligibility had their full matched pair (Cohort A; 1:1 PSM</w:t>
      </w:r>
      <w:r>
        <w:t xml:space="preserve"> </w:t>
      </w:r>
      <w:r>
        <w:rPr>
          <w:rStyle w:val="VerbatimChar"/>
        </w:rPr>
        <w:t xml:space="preserve">pair_id</w:t>
      </w:r>
      <w:r>
        <w:t xml:space="preserve">) or full fine-matched set (Cohort B; 1:up-to-4</w:t>
      </w:r>
      <w:r>
        <w:t xml:space="preserve"> </w:t>
      </w:r>
      <w:r>
        <w:rPr>
          <w:rStyle w:val="VerbatimChar"/>
        </w:rPr>
        <w:t xml:space="preserve">fine_match_id</w:t>
      </w:r>
      <w:r>
        <w:t xml:space="preserve">) dropped to preserve matched-set integrity. This pre-specified primary definition addresses two concerns simultaneously: (i) a single recorded HPV-vaccine prescription does not guarantee an immune response sufficient to influence post-surgical recurrence or HPV clearance (a minimum of two doses is the conventional threshold for evaluating biological vaccine effects), and (ii) anchoring follow-up at index without a landmark allows time accrued before the immune response could plausibly take effect to count as</w:t>
      </w:r>
      <w:r>
        <w:t xml:space="preserve"> </w:t>
      </w:r>
      <w:r>
        <w:t xml:space="preserve">“vaccinated person-time”</w:t>
      </w:r>
      <w:r>
        <w:t xml:space="preserve">, introducing immortal-time selection. The original ≥1-dose, no-landmark exposure definition is retained as a pre-specified sensitivity analysis (Sens-C). The legacy lesion-recurrence point estimate under ≥1-dose, no-landmark was 0.80 (95% CI 0.44–1.43) and collapsed to 1.01 (0.49–2.06) under the ≥2-dose + 3-month landmark primary, indicating that the directional signal was substantially driven by immortal-time selection and supporting use of the tighter primary definition for inference.</w:t>
      </w:r>
    </w:p>
    <w:p>
      <w:pPr>
        <w:pStyle w:val="BodyText"/>
      </w:pPr>
      <w:r>
        <w:t xml:space="preserve">Five pre-specified sensitivity analyses defended the principal Cohort B inferences and are reported in the main results.</w:t>
      </w:r>
      <w:r>
        <w:t xml:space="preserve"> </w:t>
      </w:r>
      <w:r>
        <w:rPr>
          <w:b/>
          <w:bCs/>
        </w:rPr>
        <w:t xml:space="preserve">(i) Outcome-definition robustness for clearance.</w:t>
      </w:r>
      <w:r>
        <w:t xml:space="preserve"> </w:t>
      </w:r>
      <w:r>
        <w:t xml:space="preserve">Because the choice between a single negative test and two consecutive negative tests is the most consequential definitional decision for the clearance co-primary, the primary two-consecutive-negative event definition was contrasted against an alternative single-negative-test definition (the more permissive ascertainment used in some earlier post-treatment HPV-vaccine analyses); both estimates and the corresponding event counts are reported.</w:t>
      </w:r>
      <w:r>
        <w:t xml:space="preserve"> </w:t>
      </w:r>
      <w:r>
        <w:rPr>
          <w:b/>
          <w:bCs/>
        </w:rPr>
        <w:t xml:space="preserve">(ii) Time-stratified clearance.</w:t>
      </w:r>
      <w:r>
        <w:t xml:space="preserve"> </w:t>
      </w:r>
      <w:r>
        <w:t xml:space="preserve">In response to a non-proportional Schoenfeld pattern in the clearance co-primary under the legacy primary, a pre-specified piecewise Cox model decomposed the v3 average hazard ratio into period-specific estimates for 0–6, 6–12, 12–24, and ≥24 months post-landmark, with at-risk left-truncation at each window’s lower bound and event ascertainment within the window.</w:t>
      </w:r>
      <w:r>
        <w:t xml:space="preserve"> </w:t>
      </w:r>
      <w:r>
        <w:rPr>
          <w:b/>
          <w:bCs/>
        </w:rPr>
        <w:t xml:space="preserve">(iii) Dose threshold and immortal-time landmark.</w:t>
      </w:r>
      <w:r>
        <w:t xml:space="preserve"> </w:t>
      </w:r>
      <w:r>
        <w:t xml:space="preserve">The v3 primary requires ≥2 distinct HPV-vaccine prescription dates with matched-set integrity preserved. As a sensitivity, the more permissive ≥1-dose, no-landmark definition (the legacy primary) and the more restrictive ≥3-dose, no-landmark definition were also fit; in both cases vaccinated cases failing the threshold and their attached non-vaccinated participants were dropped. To address residual immortal-time selection in dose-threshold contrasts,</w:t>
      </w:r>
      <w:r>
        <w:t xml:space="preserve">7</w:t>
      </w:r>
      <w:r>
        <w:t xml:space="preserve"> </w:t>
      </w:r>
      <w:r>
        <w:t xml:space="preserve">a landmark variant anchored at the standard HPV-vaccine 0–2–6 month schedule plus a 30 / 90 / 240-day grace period (for ≥1, ≥2, ≥3 dose thresholds respectively) was pre-specified; the ≥2-dose, 90-day landmark coincides with the v3 primary specification.</w:t>
      </w:r>
      <w:r>
        <w:t xml:space="preserve"> </w:t>
      </w:r>
      <w:r>
        <w:rPr>
          <w:b/>
          <w:bCs/>
        </w:rPr>
        <w:t xml:space="preserve">(iv) Strict matching.</w:t>
      </w:r>
      <w:r>
        <w:t xml:space="preserve"> </w:t>
      </w:r>
      <w:r>
        <w:t xml:space="preserve">Sens-D tests the robustness of the</w:t>
      </w:r>
      <w:r>
        <w:t xml:space="preserve"> </w:t>
      </w:r>
      <w:r>
        <w:rPr>
          <w:b/>
          <w:bCs/>
        </w:rPr>
        <w:t xml:space="preserve">matching structure</w:t>
      </w:r>
      <w:r>
        <w:t xml:space="preserve"> </w:t>
      </w:r>
      <w:r>
        <w:t xml:space="preserve">(variable-ratio vs strict 1:4 fine matching), independently of the v3 exposure-definition change. To isolate this question the analysis was run on the legacy ≥1-dose, no-landmark cohort (n = 241 vaccinated / 867 controls under variable-ratio; n = 193 / 772 under strict 1:4), where the variable-ratio (1:up-to-4) primary fine-matching procedure was compared against a strict fixed 1:4 alternative that retained only those vaccinated cases for whom four controls had been identified, dropping cases with one to three controls together with their attached non-vaccinated participants. Variable-ratio matching was specified as the primary approach because the limited number of vaccinated surgical cases and the small absolute event count make full retention of matchable cases preferable, while the cluster-robust standard errors using the matching identifier appropriately accommodate the unequal cluster sizes.</w:t>
      </w:r>
      <w:r>
        <w:t xml:space="preserve">5,6</w:t>
      </w:r>
      <w:r>
        <w:t xml:space="preserve"> </w:t>
      </w:r>
      <w:r>
        <w:rPr>
          <w:b/>
          <w:bCs/>
        </w:rPr>
        <w:t xml:space="preserve">(v) Disease-free interval.</w:t>
      </w:r>
      <w:r>
        <w:t xml:space="preserve"> </w:t>
      </w:r>
      <w:r>
        <w:t xml:space="preserve">To address the possibility that early post-landmark</w:t>
      </w:r>
      <w:r>
        <w:t xml:space="preserve"> </w:t>
      </w:r>
      <w:r>
        <w:t xml:space="preserve">“recurrence”</w:t>
      </w:r>
      <w:r>
        <w:t xml:space="preserve"> </w:t>
      </w:r>
      <w:r>
        <w:t xml:space="preserve">events represent persistent disease from an incomplete excision rather than true recurrence after clearance, the lesion-recurrence co-primary was re-fit after applying a minimum disease-free interval of ≥3, ≥6, or ≥12 months from the 3-month landmark (the v3 primary already removes events occurring in the first 90 days from index by construction).</w:t>
      </w:r>
    </w:p>
    <w:p>
      <w:pPr>
        <w:pStyle w:val="BodyText"/>
      </w:pPr>
      <w:r>
        <w:t xml:space="preserve">The legacy post-index hr-HPV detection endpoint (which conflates persistence and new acquisition) is retained as a sensitivity row in the cluster-robust hazard ratio table (Supplementary Table S6) and in the vaccine-type interaction table (Supplementary Table S5) for transparency, but is not interpreted as a co-primary outcome.</w:t>
      </w:r>
    </w:p>
    <w:p>
      <w:pPr>
        <w:pStyle w:val="BodyText"/>
      </w:pPr>
      <w:r>
        <w:t xml:space="preserve">Follow-up time was reported throughout this manuscript using the</w:t>
      </w:r>
      <w:r>
        <w:t xml:space="preserve"> </w:t>
      </w:r>
      <w:r>
        <w:rPr>
          <w:b/>
          <w:bCs/>
        </w:rPr>
        <w:t xml:space="preserve">reverse Kaplan–Meier method</w:t>
      </w:r>
      <w:r>
        <w:t xml:space="preserve"> </w:t>
      </w:r>
      <w:r>
        <w:t xml:space="preserve">of Schemper and Smith,</w:t>
      </w:r>
      <w:r>
        <w:t xml:space="preserve">8</w:t>
      </w:r>
      <w:r>
        <w:t xml:space="preserve"> </w:t>
      </w:r>
      <w:r>
        <w:t xml:space="preserve">which estimates the median</w:t>
      </w:r>
      <w:r>
        <w:t xml:space="preserve"> </w:t>
      </w:r>
      <w:r>
        <w:rPr>
          <w:i/>
          <w:iCs/>
        </w:rPr>
        <w:t xml:space="preserve">potential</w:t>
      </w:r>
      <w:r>
        <w:t xml:space="preserve"> </w:t>
      </w:r>
      <w:r>
        <w:t xml:space="preserve">follow-up time by inverting the event indicator and applying the Kaplan–Meier estimator to the censoring distribution. This method is preferred to the naïve median of observed follow-up time because the naïve estimator is biased downward when outcome events truncate observation, particularly for outcomes that occur during the follow-up window (lesion recurrence, hr-HPV clearance, the chronic-disease composite). For symmetry between cohorts, the reverse-KM median is reported with its interquartile range as the principal summary of follow-up duration, while mean and observed range are presented as descriptive supplements.</w:t>
      </w:r>
    </w:p>
    <w:p>
      <w:pPr>
        <w:pStyle w:val="BodyText"/>
      </w:pPr>
      <w:r>
        <w:t xml:space="preserve">All analyses were conducted in Python 3.14.3 using lifelines 0.30.3, scikit-learn 1.8.0, scipy 1.17.1, pandas 2.3.3, and numpy 2.4.2; random seeds were set to 42 for reproducibility. The analysis code is available in the project repository.</w:t>
      </w:r>
    </w:p>
    <w:p>
      <w:r>
        <w:pict>
          <v:rect style="width:0;height:1.5pt" o:hralign="center" o:hrstd="t" o:hr="t"/>
        </w:pict>
      </w:r>
    </w:p>
    <w:bookmarkEnd w:id="26"/>
    <w:bookmarkEnd w:id="27"/>
    <w:bookmarkStart w:id="31" w:name="results"/>
    <w:p>
      <w:pPr>
        <w:pStyle w:val="Heading2"/>
      </w:pPr>
      <w:r>
        <w:t xml:space="preserve">Results</w:t>
      </w:r>
    </w:p>
    <w:bookmarkStart w:id="28" w:name="X0fce6eee06c65b94f096a0a38040b3dcedf7a57"/>
    <w:p>
      <w:pPr>
        <w:pStyle w:val="Heading3"/>
      </w:pPr>
      <w:r>
        <w:t xml:space="preserve">Cohort selection and baseline characteristics</w:t>
      </w:r>
    </w:p>
    <w:p>
      <w:pPr>
        <w:pStyle w:val="FirstParagraph"/>
      </w:pPr>
      <w:r>
        <w:t xml:space="preserve">A total of 32,969 women contributed to the source population, of whom 2,156 (6.5%) had received at least one HPV vaccination during follow-up; 1,479 (4.5%) had received at least two distinct vaccine doses. Application of the two matching strategies yielded the final analytic cohorts: Cohort A comprised 4,102 women (2,051 vaccinated and 2,051 unvaccinated, propensity-score matched 1:1); Cohort B comprised 1,108 women (241 vaccinated and 867 finely matched controls, mean variable ratio 3.60:1, maximum 4:1) under the legacy ≥1-dose, no-landmark specification, which was then reduced to</w:t>
      </w:r>
      <w:r>
        <w:t xml:space="preserve"> </w:t>
      </w:r>
      <w:r>
        <w:rPr>
          <w:b/>
          <w:bCs/>
        </w:rPr>
        <w:t xml:space="preserve">934 women (204 vaccinated and 730 fine-matched controls) under the pre-specified ≥2-dose + 3-month landmark primary</w:t>
      </w:r>
      <w:r>
        <w:t xml:space="preserve"> </w:t>
      </w:r>
      <w:r>
        <w:t xml:space="preserve">with matched-set integrity preserved (36 vaccinated cases failing the dose threshold and their attached non-vaccinated participants were dropped; an additional 4 patients were lost to the 3-month landmark filter). The full selection process is shown in</w:t>
      </w:r>
      <w:r>
        <w:t xml:space="preserve"> </w:t>
      </w:r>
      <w:r>
        <w:rPr>
          <w:b/>
          <w:bCs/>
        </w:rPr>
        <w:t xml:space="preserve">Figure 1</w:t>
      </w:r>
      <w:r>
        <w:t xml:space="preserve">.</w:t>
      </w:r>
    </w:p>
    <w:p>
      <w:pPr>
        <w:pStyle w:val="BodyText"/>
      </w:pPr>
      <w:r>
        <w:t xml:space="preserve">In Cohort A, the matched groups were closely balanced on all measured characteristics. The mean age at the index date was 33.5 (standard deviation 9.2) years in vaccinated women and 34.2 (9.2) years in their controls (|SMD| = 0.07); body-mass index, systolic and diastolic blood pressures, distribution of smoking status, and proportion residing in Seoul were balanced to |SMD| &lt; 0.05 (</w:t>
      </w:r>
      <w:r>
        <w:rPr>
          <w:b/>
          <w:bCs/>
        </w:rPr>
        <w:t xml:space="preserve">Table 1</w:t>
      </w:r>
      <w:r>
        <w:t xml:space="preserve">). Notably, the proportion of women with missing anthropometric and blood-pressure data was equalised after matching (each |SMD| ≤ 0.05), in contrast to a marked imbalance in the unmatched source population, where unvaccinated women had substantially more missing measurements—a pattern consistent with differential health-care utilisation between groups (Supplementary Table S1). The composite of any pre-existing chronic disease at baseline occurred in 1.1% of vaccinated and 0.6% of matched controls (Fisher exact p = 0.02, |SMD| = 0.05); residual imbalance for individual conditions was modest (|SMD| ≤ 0.09 for each).</w:t>
      </w:r>
    </w:p>
    <w:p>
      <w:pPr>
        <w:pStyle w:val="BodyText"/>
      </w:pPr>
      <w:r>
        <w:t xml:space="preserve">In Cohort B, the fine matching yielded near-perfect balance on all matching variables. Mean age at the index date was 37.3 (9.5) years in the vaccinated group and 37.2 (8.5) years in controls (|SMD| = 0.01); body-mass index averaged 22.3 kg/m² in both groups (|SMD| = 0.02); over 99% of women in both groups had undergone conization rather than hysterectomy (|SMD| = 0.04).</w:t>
      </w:r>
      <w:r>
        <w:t xml:space="preserve"> </w:t>
      </w:r>
      <w:r>
        <w:rPr>
          <w:b/>
          <w:bCs/>
        </w:rPr>
        <w:t xml:space="preserve">Reverse-Kaplan–Meier median follow-up</w:t>
      </w:r>
      <w:r>
        <w:t xml:space="preserve"> </w:t>
      </w:r>
      <w:r>
        <w:t xml:space="preserve">from the index date in the v3 primary cohort (n = 934) was 4.94 years (interquartile range 3.30–8.90) in vaccinated women and 5.02 years (3.48–8.93) in matched controls; the corresponding values from the landmark (index + 90 days) were 4.69 years (3.05–8.65) and 4.78 years (3.23–8.68). For the legacy ≥1-dose, no-landmark Cohort B (n = 1,108), the reverse-KM median was 4.97 years (3.36–8.84) in vaccinated and 5.26 years (3.52–9.32) in controls. Maximum observed follow-up was 15.09 years (vaccinated) and 15.73 years (controls). Naïve medians of observed follow-up — which are biased downward by event-truncated observation — were close to but slightly shorter than these reverse-KM estimates (4.87 vs 4.94 in vaccinated and 4.90 vs 5.02 in controls). In the pre-vaccine hr-HPV-positive subset that defines the analytic population for the clearance co-primary outcome under the v3 primary (</w:t>
      </w:r>
      <w:r>
        <w:rPr>
          <w:b/>
          <w:bCs/>
        </w:rPr>
        <w:t xml:space="preserve">n = 235: 92 vaccinated and 143 matched controls</w:t>
      </w:r>
      <w:r>
        <w:t xml:space="preserve"> </w:t>
      </w:r>
      <w:r>
        <w:t xml:space="preserve">after ≥2-dose + landmark filtering with matched-set integrity), balance was preserved. The legacy ≥1-dose clearance subset (n = 292: 110 vaccinated and 182 controls) is retained as a sensitivity comparator (</w:t>
      </w:r>
      <w:r>
        <w:rPr>
          <w:b/>
          <w:bCs/>
        </w:rPr>
        <w:t xml:space="preserve">Table 1</w:t>
      </w:r>
      <w:r>
        <w:t xml:space="preserve">, Cohort B clearance-subset block).</w:t>
      </w:r>
    </w:p>
    <w:bookmarkEnd w:id="28"/>
    <w:bookmarkStart w:id="29" w:name="X38e5ebf89f1679077ae14291795c408178fb476"/>
    <w:p>
      <w:pPr>
        <w:pStyle w:val="Heading3"/>
      </w:pPr>
      <w:r>
        <w:t xml:space="preserve">Cohort A — Long-term incidence of chronic comorbidities</w:t>
      </w:r>
    </w:p>
    <w:p>
      <w:pPr>
        <w:pStyle w:val="FirstParagraph"/>
      </w:pPr>
      <w:r>
        <w:t xml:space="preserve">Under the v3 primary specification (≥2-dose + 3-month landmark applied to the 1:1 PSM matched dataset with pair integrity preserved), the analytic Cohort A comprised 2,776 women (1,396 vaccinated and 1,380 matched controls), accumulating approximately 7,421 vaccinated and 10,090 unvaccinated person-years measured from the 3-month landmark for the Any-of-five analysis (person-years varied slightly across individual outcomes owing to prevalent-case exclusions). Among these, 39 women experienced any of the five chronic conditions after the landmark (18 in vaccinated, incidence rate 2.43 per 1,000 person-years; 21 in unvaccinated, 2.08 per 1,000 person-years). For the inclusive Any-of-five composite, the cluster-robust cause-specific hazard ratio for vaccination was</w:t>
      </w:r>
      <w:r>
        <w:t xml:space="preserve"> </w:t>
      </w:r>
      <w:r>
        <w:rPr>
          <w:b/>
          <w:bCs/>
        </w:rPr>
        <w:t xml:space="preserve">1.28 (95% confidence interval 0.66 to 2.48, p = 0.47)</w:t>
      </w:r>
      <w:r>
        <w:t xml:space="preserve">. For the Major Cardiovascular Events composite only two events occurred (one vaccinated, one unvaccinated), yielding insufficient power for modelling. Among the individual conditions, the cause-specific hazard ratios were</w:t>
      </w:r>
      <w:r>
        <w:t xml:space="preserve"> </w:t>
      </w:r>
      <w:r>
        <w:rPr>
          <w:b/>
          <w:bCs/>
        </w:rPr>
        <w:t xml:space="preserve">1.47 for diabetes</w:t>
      </w:r>
      <w:r>
        <w:t xml:space="preserve"> </w:t>
      </w:r>
      <w:r>
        <w:t xml:space="preserve">(16 vs 17 events; incidence rates 2.14 vs 1.68 per 1,000 person-years; 95% CI 0.71 to 3.08, p = 0.30) and</w:t>
      </w:r>
      <w:r>
        <w:t xml:space="preserve"> </w:t>
      </w:r>
      <w:r>
        <w:rPr>
          <w:b/>
          <w:bCs/>
        </w:rPr>
        <w:t xml:space="preserve">0.86 for hypertension</w:t>
      </w:r>
      <w:r>
        <w:t xml:space="preserve"> </w:t>
      </w:r>
      <w:r>
        <w:t xml:space="preserve">(2 vs 3 events; 95% CI 0.14 to 5.22, p = 0.87); estimates for stroke, pulmonary embolism, and Angina/MI could not be obtained because no events occurred in one or both groups (</w:t>
      </w:r>
      <w:r>
        <w:rPr>
          <w:b/>
          <w:bCs/>
        </w:rPr>
        <w:t xml:space="preserve">Table 2</w:t>
      </w:r>
      <w:r>
        <w:t xml:space="preserve">). The pseudo-index sensitivity analysis (computed on the legacy ≥1-dose Cohort A for consistency with the published Sens-C framework) showed concordant Any-of-five hazard ratios across the random-sampling, calendar-year-matched, and risk-set sampling strategies (1.26, 1.27, and 1.21, respectively; Supplementary Table S7). The legacy ≥1-dose, no-landmark Cohort A (n = 4,102 / 4,106) yielded Any-of-five HR 1.26 (0.75–2.12), MCE 1.96 (0.31–12.44), diabetes 1.25 (0.68–2.28), and hypertension 1.49 (0.53–4.18) — these estimates closely tracked the v3 primary, confirming that the safety null inference is robust to the choice of exposure definition. Figure 2 displays the Aalen–Johansen cumulative incidence curves for the v3 primary cohort. No hazard ratio for any individual or composite endpoint reached statistical significance under either the v3 primary or the legacy specification.</w:t>
      </w:r>
    </w:p>
    <w:bookmarkEnd w:id="29"/>
    <w:bookmarkStart w:id="30" w:name="cohort-b-post-surgical-vaccine-efficacy"/>
    <w:p>
      <w:pPr>
        <w:pStyle w:val="Heading3"/>
      </w:pPr>
      <w:r>
        <w:t xml:space="preserve">Cohort B — Post-surgical vaccine efficacy</w:t>
      </w:r>
    </w:p>
    <w:p>
      <w:pPr>
        <w:pStyle w:val="FirstParagraph"/>
      </w:pPr>
      <w:r>
        <w:t xml:space="preserve">Under the pre-specified ≥2-dose + 3-month landmark primary definition the analytic Cohort B comprised 934 women (204 vaccinated, 730 fine-matched controls; matched-set integrity preserved by dropping the full set for any vaccinated case failing the dose or landmark-eligibility filter). For the lesion-recurrence co-primary, one additional matched set was removed because the vaccinated case had a recurrence event in the first 90 days post-index (and a small number of non-vaccinated controls similarly had early events removed), yielding a P1 analytic sample of</w:t>
      </w:r>
      <w:r>
        <w:t xml:space="preserve"> </w:t>
      </w:r>
      <w:r>
        <w:rPr>
          <w:b/>
          <w:bCs/>
        </w:rPr>
        <w:t xml:space="preserve">912 (203 vaccinated, 709 controls)</w:t>
      </w:r>
      <w:r>
        <w:t xml:space="preserve">. Within this analytic sample, 43 biopsy-confirmed lesion recurrences accrued (10 in vaccinated, incidence rate 8.83 per 1,000 person-years over 1,132 vaccinated person-years; 33 in unvaccinated, 8.36 per 1,000 person-years over 3,947 unvaccinated person-years). In age-adjusted Cox models with cluster-robust standard errors using the fine-matching identifier, vaccination was not associated with lesion recurrence (hazard ratio 1.01, 95% CI 0.49–2.06; p = 0.99). Under the alternative ≥1-dose, no-landmark exposure definition the same outcome had previously yielded a directionally protective but non-significant estimate (HR 0.80, 95% CI 0.44–1.43; p = 0.45); the collapse of this directional signal once the dose-threshold and landmark filters were applied indicates that an appreciable fraction of the legacy 0.80 estimate reflected immortal-time selection rather than biological protection. We treat this collapse transparently as a limitation of the present cohort’s lesion-recurrence inference (see Discussion). The Schoenfeld residual rank test did not indicate violation of the proportional-hazards assumption on the vaccinated covariate (p &gt; 0.20).</w:t>
      </w:r>
    </w:p>
    <w:p>
      <w:pPr>
        <w:pStyle w:val="BodyText"/>
      </w:pPr>
      <w:r>
        <w:t xml:space="preserve">Among the 235 women (92 vaccinated, 143 matched controls; pre-vaccine hr-HPV positivity preserved through landmark filtering) eligible for the clearance co-primary, the second co-primary outcome — time from the 3-month landmark (index + 90 days) to the first of two consecutive post-landmark molecular pathology records explicitly negative for hr-HPV — occurred in 31 of 92 vaccinated and 28 of 143 controls. The age-adjusted, cluster-robust hazard ratio for vaccination was</w:t>
      </w:r>
      <w:r>
        <w:t xml:space="preserve"> </w:t>
      </w:r>
      <w:r>
        <w:rPr>
          <w:b/>
          <w:bCs/>
        </w:rPr>
        <w:t xml:space="preserve">1.85 (95% CI 1.09–3.17; p = 0.024)</w:t>
      </w:r>
      <w:r>
        <w:t xml:space="preserve">, where a hazard ratio greater than 1 corresponds to faster clearance in the vaccinated arm. This is the principal post-surgical efficacy finding of the study: HPV vaccination after surgical excision was associated with approximately twofold faster clearance of pre-existing high-risk HPV in women who had documented HR-HPV positivity before vaccination, after accounting for the immortal-time concern by requiring at least two recorded vaccine doses and applying a symmetric 3-month landmark. Among women who achieved the clearance event, the</w:t>
      </w:r>
      <w:r>
        <w:t xml:space="preserve"> </w:t>
      </w:r>
      <w:r>
        <w:rPr>
          <w:b/>
          <w:bCs/>
        </w:rPr>
        <w:t xml:space="preserve">Kaplan–Meier estimated median sustained-clearance time</w:t>
      </w:r>
      <w:r>
        <w:t xml:space="preserve"> </w:t>
      </w:r>
      <w:r>
        <w:t xml:space="preserve">(reversion-free time from first clearance event to first subsequent hr-HPV-positive molecular pathology record, censoring at last follow-up if no reversion occurred) was 10.79 years (Q25 2.31, Q75 not reached) in vaccinated women (n = 31; 13 reversion events, 18 censored) and 5.67 years (Q25 1.91, Q75 not reached) in unvaccinated controls (n = 28; 13 reversion events, 15 censored), with log-rank p = 0.317. These KM medians should be interpreted with caution because the analysis is conditional on clearance achievement and therefore selects for patients with longer total follow-up (median total follow-up from index was 8.67 years in vaccinated clearance achievers compared with 4.87 years in the full v3 vaccinated cohort), because the reversion event count is small (13 per arm), and because the KM curves show three-year plateaus near S(t) = 0.5 that make the median estimate unstable. We therefore additionally report the</w:t>
      </w:r>
      <w:r>
        <w:t xml:space="preserve"> </w:t>
      </w:r>
      <w:r>
        <w:rPr>
          <w:b/>
          <w:bCs/>
        </w:rPr>
        <w:t xml:space="preserve">5-year reversion-free probability</w:t>
      </w:r>
      <w:r>
        <w:t xml:space="preserve"> </w:t>
      </w:r>
      <w:r>
        <w:t xml:space="preserve">as a more stable summary at a clinically interpretable horizon: this probability was</w:t>
      </w:r>
      <w:r>
        <w:t xml:space="preserve"> </w:t>
      </w:r>
      <w:r>
        <w:rPr>
          <w:b/>
          <w:bCs/>
        </w:rPr>
        <w:t xml:space="preserve">56.9% in vaccinated and 53.3% in unvaccinated clearance achievers</w:t>
      </w:r>
      <w:r>
        <w:t xml:space="preserve"> </w:t>
      </w:r>
      <w:r>
        <w:t xml:space="preserve">— a difference of less than 4 percentage points (</w:t>
      </w:r>
      <w:r>
        <w:rPr>
          <w:b/>
          <w:bCs/>
        </w:rPr>
        <w:t xml:space="preserve">Table 3</w:t>
      </w:r>
      <w:r>
        <w:t xml:space="preserve">). The discrepancy between the apparently large median difference (10.79 vs 5.67 y) and the negligible 5-year-probability difference (0.569 vs 0.533) underscores that the median figures are dominated by long late-follow-up plateaus rather than by an arm difference in early reversion risk. A pre-specified piecewise time-stratified Cox model under the v3 primary (Sens-B) decomposed the 1.85 average hazard ratio into a significant 0–6-month post-landmark window (HR 2.20, 95% CI 1.03–4.68; p = 0.042) with non-significant point estimates in later windows, consistent with the timing of immune-memory recall in women who have already received ≥2 doses by the landmark. Cumulative clearance curves under the ≥2-dose + 3-month landmark primary are shown in</w:t>
      </w:r>
      <w:r>
        <w:t xml:space="preserve"> </w:t>
      </w:r>
      <w:r>
        <w:rPr>
          <w:b/>
          <w:bCs/>
        </w:rPr>
        <w:t xml:space="preserve">Figure 3</w:t>
      </w:r>
      <w:r>
        <w:t xml:space="preserve"> </w:t>
      </w:r>
      <w:r>
        <w:t xml:space="preserve">(panel b) and</w:t>
      </w:r>
      <w:r>
        <w:t xml:space="preserve"> </w:t>
      </w:r>
      <w:r>
        <w:rPr>
          <w:b/>
          <w:bCs/>
        </w:rPr>
        <w:t xml:space="preserve">Table 3</w:t>
      </w:r>
      <w:r>
        <w:t xml:space="preserve">.</w:t>
      </w:r>
    </w:p>
    <w:p>
      <w:pPr>
        <w:pStyle w:val="BodyText"/>
      </w:pPr>
      <w:r>
        <w:t xml:space="preserve">Pre-specified subgroup analyses by age at index (&lt;40, 40–49, ≥50 years) and by vaccine type (Gardasil 9, Cervarix, quadrivalent Gardasil) are presented as a single combined forest plot for both co-primary outcomes (</w:t>
      </w:r>
      <w:r>
        <w:rPr>
          <w:b/>
          <w:bCs/>
        </w:rPr>
        <w:t xml:space="preserve">Figure 4</w:t>
      </w:r>
      <w:r>
        <w:t xml:space="preserve">). For each outcome, heterogeneity by vaccine type was tested in a single age-adjusted Cox model with vaccine-type × vaccination interaction terms and cluster-robust standard errors on the fine-matching identifier (Supplementary Table S5). The likelihood-ratio test for vaccine-type heterogeneity was non-significant for both co-primary outcomes (lesion recurrence χ² = 0.64, p = 0.72; hr-HPV clearance χ² = 1.73, p = 0.42), and the test for age × vaccination interaction was likewise non-significant (lesion recurrence p = 0.07; hr-HPV clearance p = 0.37). A nominal quadrivalent-specific signal appeared in the legacy post-index hr-HPV detection sensitivity row of the same vaccine-type interaction model (HR 0.40, 95% CI 0.21–0.76; LRT p = 0.004; sensitivity row reported in Supplementary Table S5); we interpret this as residual calendar-period and surgery-to-vaccination-timing confounding rather than a vaccine-type effect (Discussion). An exploratory grid search across overlapping age ranges and follow-up windows identified a single nominally significant cell for lesion recurrence (women aged 30–52 years, 2-year follow-up: HR 0.23, 95% CI 0.06–0.96, p = 0.04) that did not survive any reasonable adjustment for the ≈6,900 combinations tested and is not used to support inference (Supplementary Table S3).</w:t>
      </w:r>
    </w:p>
    <w:p>
      <w:pPr>
        <w:pStyle w:val="BodyText"/>
      </w:pPr>
      <w:r>
        <w:t xml:space="preserve">The five pre-specified sensitivity analyses — recomputed under the v3 primary cohort — were consistent with, and refined, the primary findings (</w:t>
      </w:r>
      <w:r>
        <w:rPr>
          <w:b/>
          <w:bCs/>
        </w:rPr>
        <w:t xml:space="preserve">Supplementary Figure S6</w:t>
      </w:r>
      <w:r>
        <w:t xml:space="preserve">, summary forest plot).</w:t>
      </w:r>
      <w:r>
        <w:t xml:space="preserve"> </w:t>
      </w:r>
      <w:r>
        <w:rPr>
          <w:b/>
          <w:bCs/>
        </w:rPr>
        <w:t xml:space="preserve">(i)</w:t>
      </w:r>
      <w:r>
        <w:t xml:space="preserve"> </w:t>
      </w:r>
      <w:r>
        <w:t xml:space="preserve">For the clearance co-primary, the more permissive single-negative event definition produced a hazard ratio of 1.70 (95% CI 1.13–2.56, p = 0.011) on 91 vaccinated and 139 control women, compared with 1.85 (1.09–3.17, p = 0.024) under the two-consecutive-negative primary, supporting the directional inference and showing that the clearance signal is robust to the asymmetry between two-consecutive and single-negative ascertainment.</w:t>
      </w:r>
      <w:r>
        <w:t xml:space="preserve"> </w:t>
      </w:r>
      <w:r>
        <w:rPr>
          <w:b/>
          <w:bCs/>
        </w:rPr>
        <w:t xml:space="preserve">(ii)</w:t>
      </w:r>
      <w:r>
        <w:t xml:space="preserve"> </w:t>
      </w:r>
      <w:r>
        <w:t xml:space="preserve">The pre-specified piecewise time-stratified clearance model — fit because the Schoenfeld test indicated PH violation under the legacy primary — decomposed the average hazard ratio of 1.85 into a</w:t>
      </w:r>
      <w:r>
        <w:t xml:space="preserve"> </w:t>
      </w:r>
      <w:r>
        <w:rPr>
          <w:b/>
          <w:bCs/>
        </w:rPr>
        <w:t xml:space="preserve">2.20 (1.03–4.68, p = 0.042) signal in the 0–6-month window</w:t>
      </w:r>
      <w:r>
        <w:t xml:space="preserve"> </w:t>
      </w:r>
      <w:r>
        <w:t xml:space="preserve">post-landmark (19 vaccinated and 14 control events), a 1.58 (0.71–3.52) point estimate in 6–12 months, a 1.34 (0.30–6.07) point estimate in 12–24 months, and a 1.08 (0.09–13.45) estimate beyond 24 months. Under the v3 primary the dominant clearance signal therefore localises to the earliest 0–6-month post-landmark window — biologically consistent with the timing of immune-memory recall in women who have already received at least two doses at the time the landmark begins.</w:t>
      </w:r>
      <w:r>
        <w:t xml:space="preserve"> </w:t>
      </w:r>
      <w:r>
        <w:rPr>
          <w:b/>
          <w:bCs/>
        </w:rPr>
        <w:t xml:space="preserve">(iii)</w:t>
      </w:r>
      <w:r>
        <w:t xml:space="preserve"> </w:t>
      </w:r>
      <w:r>
        <w:t xml:space="preserve">Restricting the vaccinated arm to ≥2 and ≥3 (complete schedule) recorded doses with full matched-set preservation produced lesion-recurrence hazard ratios of 0.74 (0.39–1.39) and 0.61 (0.30–1.24), respectively, and hr-HPV clearance hazard ratios of 1.40 (0.90–2.17) and 1.59 (0.97–2.60) when computed without a landmark (Supplementary Table S8A; these are the original ≥1-dose-anchored</w:t>
      </w:r>
      <w:r>
        <w:t xml:space="preserve"> </w:t>
      </w:r>
      <w:r>
        <w:t xml:space="preserve">“dose-response”</w:t>
      </w:r>
      <w:r>
        <w:t xml:space="preserve"> </w:t>
      </w:r>
      <w:r>
        <w:t xml:space="preserve">estimates retained for comparison). Adding the 3-month landmark (Supplementary Table S8B) collapses the lesion-recurrence dose-response (HR 1.12, 95% CI 0.54–2.30 at the ≥2-dose, 90-day landmark — corresponding to the present v3 primary specification), while the hr-HPV clearance HR at the same landmark is 1.45 (0.95–2.21, p = 0.081) under the broader ≥1-dose ascertainment and 1.85 (1.09–3.17, p = 0.024) under the v3 primary.</w:t>
      </w:r>
      <w:r>
        <w:t xml:space="preserve"> </w:t>
      </w:r>
      <w:r>
        <w:rPr>
          <w:b/>
          <w:bCs/>
        </w:rPr>
        <w:t xml:space="preserve">(iv)</w:t>
      </w:r>
      <w:r>
        <w:t xml:space="preserve"> </w:t>
      </w:r>
      <w:r>
        <w:t xml:space="preserve">A strict 1:4 fine-matched alternative yielded lesion-recurrence and clearance hazard ratios close to the variable-ratio primary estimates.</w:t>
      </w:r>
      <w:r>
        <w:t xml:space="preserve"> </w:t>
      </w:r>
      <w:r>
        <w:rPr>
          <w:b/>
          <w:bCs/>
        </w:rPr>
        <w:t xml:space="preserve">(v)</w:t>
      </w:r>
      <w:r>
        <w:t xml:space="preserve"> </w:t>
      </w:r>
      <w:r>
        <w:t xml:space="preserve">Applying a minimum disease-free interval of 3, 6, or 12 months from the landmark (in addition to the 90-day landmark already in the primary specification) yielded recurrence hazard ratios of 0.96, 0.92, and 0.97, respectively — all consistent with the primary 1.01 null estimate. Collectively, the five sensitivity analyses preserve the null inference for lesion recurrence and the significantly accelerated inference for clearance under the v3 primary, with the time-stratified analysis localising the clearance signal to the earliest 0–6-month post-landmark window.</w:t>
      </w:r>
    </w:p>
    <w:p>
      <w:r>
        <w:pict>
          <v:rect style="width:0;height:1.5pt" o:hralign="center" o:hrstd="t" o:hr="t"/>
        </w:pict>
      </w:r>
    </w:p>
    <w:bookmarkEnd w:id="30"/>
    <w:bookmarkEnd w:id="31"/>
    <w:bookmarkStart w:id="32" w:name="X77687750556524728754c6a212a38d690df6183"/>
    <w:p>
      <w:pPr>
        <w:pStyle w:val="Heading2"/>
      </w:pPr>
      <w:r>
        <w:t xml:space="preserve">Suggested Discussion outline (to be expanded)</w:t>
      </w:r>
    </w:p>
    <w:p>
      <w:pPr>
        <w:pStyle w:val="FirstParagraph"/>
      </w:pPr>
      <w:r>
        <w:t xml:space="preserve">The main findings can be framed around three observations: (i) the absence of any safety signal for major chronic disease over a reverse-Kaplan–Meier median follow-up of 5.93 years (IQR 2.78–10.75), including the broad Any-of-5 composite; (ii) under the pre-specified ≥2-dose + 3-month landmark primary exposure definition the absence of a protective effect of post-surgical vaccination on biopsy-confirmed lesion recurrence (HR 1.01, 95% CI 0.49–2.06; p = 0.99), with the legacy ≥1-dose, no-landmark estimate of 0.80 (0.44–1.43) collapsing to null under the tighter definition consistent with substantial immortal-time selection in the more permissive analysis; and (iii) a statistically significant association of post-surgical vaccination with</w:t>
      </w:r>
      <w:r>
        <w:t xml:space="preserve"> </w:t>
      </w:r>
      <w:r>
        <w:rPr>
          <w:b/>
          <w:bCs/>
        </w:rPr>
        <w:t xml:space="preserve">faster hr-HPV clearance</w:t>
      </w:r>
      <w:r>
        <w:t xml:space="preserve"> </w:t>
      </w:r>
      <w:r>
        <w:t xml:space="preserve">among women with documented pre-vaccine high-risk positivity (HR 1.85, 95% CI 1.09–3.17; p = 0.024), although the 5-year reversion-free probability among clearance achievers was nearly identical between arms (56.9% vaccinated vs 53.3% unvaccinated; log-rank p = 0.317), indicating no detectable difference in sustained-clearance duration at a clinically relevant horizon. These findings should be situated against the FUTURE I/II trial program, which established prophylactic vaccine efficacy in HPV-naïve women, and against meta-analyses of post-surgical vaccination (Joura et al., Velentzis et al.) that have yielded inconsistent results. The dissociation between the null recurrence and the significantly accelerated clearance findings under the same exposure definition supports a biological model in which vaccination accelerates immune clearance of pre-existing high-risk HPV but does not reverse already-initiated dysplastic precursor lesions.</w:t>
      </w:r>
    </w:p>
    <w:p>
      <w:pPr>
        <w:pStyle w:val="BodyText"/>
      </w:pPr>
      <w:r>
        <w:t xml:space="preserve">The vaccine-type interaction analysis on the hr-HPV clearance co-primary was non-significant (LRT χ² = 1.73 on 2 d.f., p = 0.42; Supplementary Table S5). The legacy post-index hr-HPV detection sensitivity outcome — an endpoint that conflates persistence of the pre-surgical infection with new acquisition — yielded a nominal quadrivalent-specific signal in the same vaccine-type interaction model (HR 0.40, 95% CI 0.21–0.76; LRT p = 0.004; sensitivity row reported in Supplementary Table S5). Because the three vaccine products were administered in essentially non-overlapping calendar windows in this cohort (median index year 2014 for the quadrivalent product, 2013 for Cervarix, and 2020 for the nine-valent product), this signal is biologically discordant with the null estimate observed for the nine-valent vaccine (which contains all four antigens of the quadrivalent product plus five additional high-risk types and would be expected to confer at least equivalent protection) and is more parsimoniously explained by residual calendar-period and surgery-to-vaccination-timing confounding than by a quadrivalent-specific antigenic mechanism — the quadrivalent subgroup numbered only 36 vaccinated women. The signal is reported here for transparency and treated as hypothesis-generating only; we do not interpret it as evidence of vaccine-type effect modification on the co-primary clearance outcome.</w:t>
      </w:r>
    </w:p>
    <w:p>
      <w:pPr>
        <w:pStyle w:val="BodyText"/>
      </w:pPr>
      <w:r>
        <w:t xml:space="preserve">Several limitations qualify the principal Cohort B inference.</w:t>
      </w:r>
      <w:r>
        <w:t xml:space="preserve"> </w:t>
      </w:r>
      <w:r>
        <w:rPr>
          <w:b/>
          <w:bCs/>
        </w:rPr>
        <w:t xml:space="preserve">First</w:t>
      </w:r>
      <w:r>
        <w:t xml:space="preserve">, the directional protective signal for lesion recurrence under the more permissive ≥1-dose, no-landmark exposure definition (HR 0.80, 95% CI 0.44–1.43) collapsed to a null estimate (HR 1.01, 0.49–2.06) under the pre-specified ≥2-dose + 3-month landmark primary definition. This collapse is informative rather than disqualifying — it indicates that a meaningful fraction of the legacy 0.80 estimate was attributable to immortal-time selection (a woman who reached her second-dose date had necessarily survived event-free up to that point) rather than to biological protection from vaccination. Under the tighter, biologically more credible exposure definition, the present cohort provides</w:t>
      </w:r>
      <w:r>
        <w:t xml:space="preserve"> </w:t>
      </w:r>
      <w:r>
        <w:rPr>
          <w:b/>
          <w:bCs/>
        </w:rPr>
        <w:t xml:space="preserve">no evidence of post-surgical protection against lesion recurrence</w:t>
      </w:r>
      <w:r>
        <w:t xml:space="preserve">; whether the true effect is null or a modest protective effect masked by the limited event count (10 vaccinated and 33 unvaccinated recurrences in the n = 912 P1 analytic sample) cannot be resolved with this sample size. The contrast between the recurrence (null) and clearance (significantly accelerated) findings under the same primary exposure definition is internally consistent with a model in which vaccination accelerates clearance of pre-existing HR-HPV but does not reverse the precursor dysplastic lesions that have already initiated.</w:t>
      </w:r>
      <w:r>
        <w:t xml:space="preserve"> </w:t>
      </w:r>
      <w:r>
        <w:rPr>
          <w:b/>
          <w:bCs/>
        </w:rPr>
        <w:t xml:space="preserve">Second</w:t>
      </w:r>
      <w:r>
        <w:t xml:space="preserve">, the clearance subset, while internally consistent, is restricted to the 235 women with documented pre-vaccine hr-HPV positivity surviving the landmark filter, limiting power to detect heterogeneity by age or vaccine type.</w:t>
      </w:r>
      <w:r>
        <w:t xml:space="preserve"> </w:t>
      </w:r>
      <w:r>
        <w:rPr>
          <w:b/>
          <w:bCs/>
        </w:rPr>
        <w:t xml:space="preserve">Third</w:t>
      </w:r>
      <w:r>
        <w:t xml:space="preserve">, additional limitations include the single-centre design, the modest absolute number of cardiovascular events (limiting power for the MCE composite), the dependence of HPV ascertainment on opportunistic testing, the absence of granular data on socioeconomic status, sexual behaviour, and partner vaccination, and the residual potential for unmeasured confounding despite propensity-score and fine matching — most notably for the clearance co-primary outcome, in which the matched-set structure cannot fully balance the indication for voluntarily seeking post-surgical vaccination. The clearance outcome required a documented pre-vaccine pathology record, restricting the v3 analytic subset to 235 patients (n = 92 vaccinated and 143 controls after landmark filtering with matched-set integrity; 59 clearance events in total, 31 vaccinated and 28 control) and limiting power for further stratified inference, although the overall v3 clearance HR reached conventional significance (1.85, p = 0.024). The post-index hr-HPV detection sensitivity row in Supplementary Table S6 (which captures persistence, reactivation, and new acquisition together) showed no overall protective effect (HR 0.91, 95% CI 0.76–1.08); we treat the apparent quadrivalent-specific signal in that sensitivity as artefactual for the reasons given above. Several additional methodological caveats merit mention. The pseudo-index assignment used to anchor follow-up time for unvaccinated controls in Cohort A is not unique; the Supplementary Table S7 sensitivity comparing three reasonable strategies observed concordant results. We did not apply formal multiple-comparison adjustment for the two Cohort B co-primary outcomes because they represent distinct biological hypotheses (post-surgical lesion regrowth versus clearance of pre-existing high-risk infection); both were null at the nominal threshold, so any plausible adjustment would not alter the substantive conclusion. The subgroup and interaction findings are explicitly framed as hypothesis-generating; in particular, an exploratory grid search across many overlapping age and follow-up windows had identified a single nominally significant cell (women aged 30 to 52 years, 2-year follow-up window: HR 0.23, 95% CI 0.06–0.96) that did not survive any reasonable adjustment for the approximately 6,900 combinations searched, attenuated with longer follow-up, and is therefore not reported in the main figure and not used to support any inference. The v3 post-surgical efficacy analysis was conducted with limited statistical power for lesion recurrence: only 10 recurrences accrued in the vaccinated arm and 33 in controls after the dose and landmark filters, so the analysis was sensitive to detect protective effects only of magnitude approximately HR ≤ 0.5 at 80% power; a modest true protective effect could plausibly remain undetected. The combination of a long-followed prospective cohort with retrospective CDW augmentation is a methodological strength that allowed us to track clinically important outcomes that would have been undetectable in shorter follow-up windows, while the use of cluster-robust standard errors based on the matched-pair (Cohort A) and fine-matching (Cohort B) identifiers, together with proportional-hazards assumption testing, provides a methodologically conservative inferential framework.</w:t>
      </w:r>
    </w:p>
    <w:p>
      <w:r>
        <w:pict>
          <v:rect style="width:0;height:1.5pt" o:hralign="center" o:hrstd="t" o:hr="t"/>
        </w:pict>
      </w:r>
    </w:p>
    <w:bookmarkEnd w:id="32"/>
    <w:bookmarkStart w:id="40" w:name="references"/>
    <w:p>
      <w:pPr>
        <w:pStyle w:val="Heading2"/>
      </w:pPr>
      <w:r>
        <w:t xml:space="preserve">References</w:t>
      </w:r>
    </w:p>
    <w:p>
      <w:pPr>
        <w:numPr>
          <w:ilvl w:val="0"/>
          <w:numId w:val="1001"/>
        </w:numPr>
      </w:pPr>
      <w:r>
        <w:t xml:space="preserve">von Elm E, Altman DG, Egger M, Pocock SJ, Gøtzsche PC, Vandenbroucke JP; STROBE Initiative. The Strengthening the Reporting of Observational Studies in Epidemiology (STROBE) statement: guidelines for reporting observational studies.</w:t>
      </w:r>
      <w:r>
        <w:t xml:space="preserve"> </w:t>
      </w:r>
      <w:r>
        <w:rPr>
          <w:i/>
          <w:iCs/>
        </w:rPr>
        <w:t xml:space="preserve">Lancet.</w:t>
      </w:r>
      <w:r>
        <w:t xml:space="preserve"> </w:t>
      </w:r>
      <w:r>
        <w:t xml:space="preserve">2007;370(9596):1453-1457. doi:</w:t>
      </w:r>
      <w:hyperlink r:id="rId33">
        <w:r>
          <w:rPr>
            <w:rStyle w:val="Hyperlink"/>
          </w:rPr>
          <w:t xml:space="preserve">10.1016/S0140-6736(07)61602-X</w:t>
        </w:r>
      </w:hyperlink>
    </w:p>
    <w:p>
      <w:pPr>
        <w:numPr>
          <w:ilvl w:val="0"/>
          <w:numId w:val="1001"/>
        </w:numPr>
      </w:pPr>
      <w:r>
        <w:t xml:space="preserve">Austin PC. Optimal caliper widths for propensity-score matching when estimating differences in means and differences in proportions in observational studies.</w:t>
      </w:r>
      <w:r>
        <w:t xml:space="preserve"> </w:t>
      </w:r>
      <w:r>
        <w:rPr>
          <w:i/>
          <w:iCs/>
        </w:rPr>
        <w:t xml:space="preserve">Pharm Stat.</w:t>
      </w:r>
      <w:r>
        <w:t xml:space="preserve"> </w:t>
      </w:r>
      <w:r>
        <w:t xml:space="preserve">2011;10(2):150-161. doi:</w:t>
      </w:r>
      <w:hyperlink r:id="rId34">
        <w:r>
          <w:rPr>
            <w:rStyle w:val="Hyperlink"/>
          </w:rPr>
          <w:t xml:space="preserve">10.1002/pst.433</w:t>
        </w:r>
      </w:hyperlink>
    </w:p>
    <w:p>
      <w:pPr>
        <w:numPr>
          <w:ilvl w:val="0"/>
          <w:numId w:val="1001"/>
        </w:numPr>
      </w:pPr>
      <w:r>
        <w:t xml:space="preserve">Geskus RB. Cause-specific cumulative incidence estimation and the Fine and Gray model under both left truncation and right censoring.</w:t>
      </w:r>
      <w:r>
        <w:t xml:space="preserve"> </w:t>
      </w:r>
      <w:r>
        <w:rPr>
          <w:i/>
          <w:iCs/>
        </w:rPr>
        <w:t xml:space="preserve">Biometrics.</w:t>
      </w:r>
      <w:r>
        <w:t xml:space="preserve"> </w:t>
      </w:r>
      <w:r>
        <w:t xml:space="preserve">2011;67(1):39-49. doi:</w:t>
      </w:r>
      <w:hyperlink r:id="rId35">
        <w:r>
          <w:rPr>
            <w:rStyle w:val="Hyperlink"/>
          </w:rPr>
          <w:t xml:space="preserve">10.1111/j.1541-0420.2010.01420.x</w:t>
        </w:r>
      </w:hyperlink>
    </w:p>
    <w:p>
      <w:pPr>
        <w:numPr>
          <w:ilvl w:val="0"/>
          <w:numId w:val="1001"/>
        </w:numPr>
      </w:pPr>
      <w:r>
        <w:t xml:space="preserve">Rothman KJ. No adjustments are needed for multiple comparisons.</w:t>
      </w:r>
      <w:r>
        <w:t xml:space="preserve"> </w:t>
      </w:r>
      <w:r>
        <w:rPr>
          <w:i/>
          <w:iCs/>
        </w:rPr>
        <w:t xml:space="preserve">Epidemiology.</w:t>
      </w:r>
      <w:r>
        <w:t xml:space="preserve"> </w:t>
      </w:r>
      <w:r>
        <w:t xml:space="preserve">1990;1(1):43-46.</w:t>
      </w:r>
    </w:p>
    <w:p>
      <w:pPr>
        <w:numPr>
          <w:ilvl w:val="0"/>
          <w:numId w:val="1001"/>
        </w:numPr>
      </w:pPr>
      <w:r>
        <w:t xml:space="preserve">Stuart EA. Matching methods for causal inference: a review and a look forward.</w:t>
      </w:r>
      <w:r>
        <w:t xml:space="preserve"> </w:t>
      </w:r>
      <w:r>
        <w:rPr>
          <w:i/>
          <w:iCs/>
        </w:rPr>
        <w:t xml:space="preserve">Stat Sci.</w:t>
      </w:r>
      <w:r>
        <w:t xml:space="preserve"> </w:t>
      </w:r>
      <w:r>
        <w:t xml:space="preserve">2010;25(1):1-21. doi:</w:t>
      </w:r>
      <w:hyperlink r:id="rId36">
        <w:r>
          <w:rPr>
            <w:rStyle w:val="Hyperlink"/>
          </w:rPr>
          <w:t xml:space="preserve">10.1214/09-STS313</w:t>
        </w:r>
      </w:hyperlink>
    </w:p>
    <w:p>
      <w:pPr>
        <w:numPr>
          <w:ilvl w:val="0"/>
          <w:numId w:val="1001"/>
        </w:numPr>
      </w:pPr>
      <w:r>
        <w:t xml:space="preserve">Austin PC. A comparison of 12 algorithms for matching on the propensity score.</w:t>
      </w:r>
      <w:r>
        <w:t xml:space="preserve"> </w:t>
      </w:r>
      <w:r>
        <w:rPr>
          <w:i/>
          <w:iCs/>
        </w:rPr>
        <w:t xml:space="preserve">Stat Med.</w:t>
      </w:r>
      <w:r>
        <w:t xml:space="preserve"> </w:t>
      </w:r>
      <w:r>
        <w:t xml:space="preserve">2014;33(6):1057-1069. doi:</w:t>
      </w:r>
      <w:hyperlink r:id="rId37">
        <w:r>
          <w:rPr>
            <w:rStyle w:val="Hyperlink"/>
          </w:rPr>
          <w:t xml:space="preserve">10.1002/sim.6004</w:t>
        </w:r>
      </w:hyperlink>
    </w:p>
    <w:p>
      <w:pPr>
        <w:numPr>
          <w:ilvl w:val="0"/>
          <w:numId w:val="1001"/>
        </w:numPr>
      </w:pPr>
      <w:r>
        <w:t xml:space="preserve">Suissa S. Immortal time bias in pharmaco-epidemiology.</w:t>
      </w:r>
      <w:r>
        <w:t xml:space="preserve"> </w:t>
      </w:r>
      <w:r>
        <w:rPr>
          <w:i/>
          <w:iCs/>
        </w:rPr>
        <w:t xml:space="preserve">Am J Epidemiol.</w:t>
      </w:r>
      <w:r>
        <w:t xml:space="preserve"> </w:t>
      </w:r>
      <w:r>
        <w:t xml:space="preserve">2008;167(4):492-499. doi:</w:t>
      </w:r>
      <w:hyperlink r:id="rId38">
        <w:r>
          <w:rPr>
            <w:rStyle w:val="Hyperlink"/>
          </w:rPr>
          <w:t xml:space="preserve">10.1093/aje/kwm324</w:t>
        </w:r>
      </w:hyperlink>
    </w:p>
    <w:p>
      <w:pPr>
        <w:numPr>
          <w:ilvl w:val="0"/>
          <w:numId w:val="1001"/>
        </w:numPr>
      </w:pPr>
      <w:r>
        <w:t xml:space="preserve">Schemper M, Smith TL. A note on quantifying follow-up in studies of failure time.</w:t>
      </w:r>
      <w:r>
        <w:t xml:space="preserve"> </w:t>
      </w:r>
      <w:r>
        <w:rPr>
          <w:i/>
          <w:iCs/>
        </w:rPr>
        <w:t xml:space="preserve">Control Clin Trials.</w:t>
      </w:r>
      <w:r>
        <w:t xml:space="preserve"> </w:t>
      </w:r>
      <w:r>
        <w:t xml:space="preserve">1996;17(4):343-346. doi:</w:t>
      </w:r>
      <w:hyperlink r:id="rId39">
        <w:r>
          <w:rPr>
            <w:rStyle w:val="Hyperlink"/>
          </w:rPr>
          <w:t xml:space="preserve">10.1016/0197-2456(96)00075-X</w:t>
        </w:r>
      </w:hyperlink>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doi.org/10.1002/pst.433" TargetMode="External" /><Relationship Type="http://schemas.openxmlformats.org/officeDocument/2006/relationships/hyperlink" Id="rId37" Target="https://doi.org/10.1002/sim.6004" TargetMode="External" /><Relationship Type="http://schemas.openxmlformats.org/officeDocument/2006/relationships/hyperlink" Id="rId39" Target="https://doi.org/10.1016/0197-2456(96)00075-X" TargetMode="External" /><Relationship Type="http://schemas.openxmlformats.org/officeDocument/2006/relationships/hyperlink" Id="rId33" Target="https://doi.org/10.1016/S0140-6736(07)61602-X" TargetMode="External" /><Relationship Type="http://schemas.openxmlformats.org/officeDocument/2006/relationships/hyperlink" Id="rId38" Target="https://doi.org/10.1093/aje/kwm324" TargetMode="External" /><Relationship Type="http://schemas.openxmlformats.org/officeDocument/2006/relationships/hyperlink" Id="rId35" Target="https://doi.org/10.1111/j.1541-0420.2010.01420.x" TargetMode="External" /><Relationship Type="http://schemas.openxmlformats.org/officeDocument/2006/relationships/hyperlink" Id="rId36" Target="https://doi.org/10.1214/09-STS313"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pst.433" TargetMode="External" /><Relationship Type="http://schemas.openxmlformats.org/officeDocument/2006/relationships/hyperlink" Id="rId37" Target="https://doi.org/10.1002/sim.6004" TargetMode="External" /><Relationship Type="http://schemas.openxmlformats.org/officeDocument/2006/relationships/hyperlink" Id="rId39" Target="https://doi.org/10.1016/0197-2456(96)00075-X" TargetMode="External" /><Relationship Type="http://schemas.openxmlformats.org/officeDocument/2006/relationships/hyperlink" Id="rId33" Target="https://doi.org/10.1016/S0140-6736(07)61602-X" TargetMode="External" /><Relationship Type="http://schemas.openxmlformats.org/officeDocument/2006/relationships/hyperlink" Id="rId38" Target="https://doi.org/10.1093/aje/kwm324" TargetMode="External" /><Relationship Type="http://schemas.openxmlformats.org/officeDocument/2006/relationships/hyperlink" Id="rId35" Target="https://doi.org/10.1111/j.1541-0420.2010.01420.x" TargetMode="External" /><Relationship Type="http://schemas.openxmlformats.org/officeDocument/2006/relationships/hyperlink" Id="rId36" Target="https://doi.org/10.1214/09-STS3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2026-05-28T11:57:18Z</dcterms:created>
  <dcterms:modified xsi:type="dcterms:W3CDTF">2026-05-28T11:57:18Z</dcterms:modified>
</cp:coreProperties>
</file>

<file path=docProps/custom.xml><?xml version="1.0" encoding="utf-8"?>
<Properties xmlns="http://schemas.openxmlformats.org/officeDocument/2006/custom-properties" xmlns:vt="http://schemas.openxmlformats.org/officeDocument/2006/docPropsVTypes"/>
</file>