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 to 1,108 (241 / 867; legacy intermediate), and finally the ≥2-dose + 3-month landmark filter with matched-set integrity yielding the v3 primary cohort n = 934 (204 vaccinated / 730 unvaccinated).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under the v3 primary (≥2-dose + 3-month landmark) — cumulative incidence curves with number-at-risk tables. (a) lesion recurrence (≥CIN2) in the v3 Cohort B (n = 934; 204 vaccinated / 730 controls); (b) cumulative clearance of pre-vaccine hr-HPV (two-consecutive-negative event) in the v3 pre-vaccine HPV+ subset (n = 235; 92 / 143). X-axis is years from landmark (index + 90 days).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analysis; ≥1-dose, no-landmark legacy exposure definition retained for reference).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under the ≥2-dose + 3-month landmark PRIMARY exposure definition — Cohort B (post-surgical efficacy analysis). N = 934 (204 vaccinated / 730 fine-matched controls). Matched-set integrity preserved: vaccinated cases failing the ≥2-dose or landmark filter had their full fine-matched set removed. Additional variables — pre-surgery / post-surgery HPV test status (any-time and pre-vaccine windowed) and surgical-pathology severity (HSIL/CIN3 vs invasive cancer vs lower-grade) — are added to support cohort characterisation requested at revision.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